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BC" w:rsidRPr="000F1C47" w:rsidRDefault="004E63BC" w:rsidP="008215B2">
      <w:pPr>
        <w:widowControl/>
        <w:shd w:val="clear" w:color="auto" w:fill="FFFFFF"/>
        <w:adjustRightInd w:val="0"/>
        <w:snapToGrid w:val="0"/>
        <w:spacing w:line="600" w:lineRule="exact"/>
        <w:ind w:leftChars="-99" w:left="-208" w:rightChars="-98" w:right="-206"/>
        <w:jc w:val="center"/>
        <w:rPr>
          <w:rFonts w:ascii="方正小标宋简体" w:eastAsia="方正小标宋简体" w:cs="Times New Roman"/>
          <w:sz w:val="44"/>
          <w:szCs w:val="44"/>
        </w:rPr>
      </w:pPr>
      <w:r w:rsidRPr="000F1C47">
        <w:rPr>
          <w:rFonts w:ascii="方正小标宋简体" w:eastAsia="方正小标宋简体" w:cs="方正小标宋简体" w:hint="eastAsia"/>
          <w:sz w:val="44"/>
          <w:szCs w:val="44"/>
        </w:rPr>
        <w:t>《“</w:t>
      </w:r>
      <w:r w:rsidRPr="000F1C4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柳州市青少年科技创新市长奖”评选办法</w:t>
      </w:r>
      <w:r w:rsidRPr="000F1C47">
        <w:rPr>
          <w:rFonts w:ascii="方正小标宋简体" w:eastAsia="方正小标宋简体" w:cs="方正小标宋简体" w:hint="eastAsia"/>
          <w:sz w:val="44"/>
          <w:szCs w:val="44"/>
        </w:rPr>
        <w:t>》</w:t>
      </w:r>
    </w:p>
    <w:p w:rsidR="004E63BC" w:rsidRPr="000F1C47" w:rsidRDefault="004E63BC" w:rsidP="00D53CC6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的政策解读</w:t>
      </w:r>
    </w:p>
    <w:p w:rsidR="004E63BC" w:rsidRPr="000F1C47" w:rsidRDefault="004E63BC" w:rsidP="008215B2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4E63BC" w:rsidRPr="000F1C47" w:rsidRDefault="004E63BC" w:rsidP="008215B2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0F1C47">
        <w:rPr>
          <w:rFonts w:ascii="仿宋_GB2312" w:eastAsia="仿宋_GB2312" w:cs="仿宋_GB2312" w:hint="eastAsia"/>
          <w:sz w:val="32"/>
          <w:szCs w:val="32"/>
        </w:rPr>
        <w:t>《“</w:t>
      </w:r>
      <w:r w:rsidRPr="000F1C47">
        <w:rPr>
          <w:rFonts w:ascii="仿宋_GB2312" w:eastAsia="仿宋_GB2312" w:hAnsi="宋体" w:cs="仿宋_GB2312" w:hint="eastAsia"/>
          <w:kern w:val="0"/>
          <w:sz w:val="32"/>
          <w:szCs w:val="32"/>
        </w:rPr>
        <w:t>柳州市青少年科技创新市长奖”评选办法</w:t>
      </w:r>
      <w:r w:rsidRPr="000F1C47">
        <w:rPr>
          <w:rFonts w:ascii="仿宋_GB2312" w:eastAsia="仿宋_GB2312" w:cs="仿宋_GB2312" w:hint="eastAsia"/>
          <w:sz w:val="32"/>
          <w:szCs w:val="32"/>
        </w:rPr>
        <w:t>》</w:t>
      </w:r>
      <w:r w:rsidRPr="000F1C47">
        <w:rPr>
          <w:rFonts w:ascii="仿宋_GB2312" w:eastAsia="仿宋_GB2312" w:hAnsi="宋体" w:cs="仿宋_GB2312" w:hint="eastAsia"/>
          <w:kern w:val="0"/>
          <w:sz w:val="32"/>
          <w:szCs w:val="32"/>
        </w:rPr>
        <w:t>（以下简称《评选办法》）</w:t>
      </w:r>
      <w:r w:rsidRPr="000F1C47">
        <w:rPr>
          <w:rFonts w:ascii="仿宋_GB2312" w:eastAsia="仿宋_GB2312" w:cs="仿宋_GB2312" w:hint="eastAsia"/>
          <w:sz w:val="32"/>
          <w:szCs w:val="32"/>
        </w:rPr>
        <w:t>是在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全党的十九大、习总书记在</w:t>
      </w:r>
      <w:r w:rsidRPr="000F1C47">
        <w:rPr>
          <w:rFonts w:ascii="仿宋_GB2312" w:eastAsia="仿宋_GB2312" w:hAnsi="宋体-18030" w:cs="仿宋_GB2312"/>
          <w:kern w:val="0"/>
          <w:sz w:val="32"/>
          <w:szCs w:val="32"/>
        </w:rPr>
        <w:t>2018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年两院院士大会上的重要讲话以及柳州市创新驱动发展暨“两创”工作推进大会的时代背景下提出的，旨在推动柳州市青少年科学素质教育又好又快发展。</w:t>
      </w:r>
    </w:p>
    <w:p w:rsidR="004E63BC" w:rsidRPr="000F1C47" w:rsidRDefault="004E63BC" w:rsidP="008215B2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0F1C47">
        <w:rPr>
          <w:rFonts w:ascii="黑体" w:eastAsia="黑体" w:hAnsi="黑体" w:cs="黑体" w:hint="eastAsia"/>
          <w:kern w:val="0"/>
          <w:sz w:val="32"/>
          <w:szCs w:val="32"/>
        </w:rPr>
        <w:t>一、《评选办法》起草相关文件依据</w:t>
      </w:r>
    </w:p>
    <w:p w:rsidR="004E63BC" w:rsidRPr="000F1C47" w:rsidRDefault="004E63BC" w:rsidP="008215B2">
      <w:pPr>
        <w:widowControl/>
        <w:shd w:val="clear" w:color="auto" w:fill="FFFFFF"/>
        <w:adjustRightInd w:val="0"/>
        <w:snapToGrid w:val="0"/>
        <w:spacing w:line="600" w:lineRule="exact"/>
        <w:ind w:firstLineChars="196" w:firstLine="627"/>
        <w:rPr>
          <w:rFonts w:ascii="仿宋_GB2312" w:eastAsia="仿宋_GB2312" w:hAnsi="宋体" w:cs="Times New Roman"/>
          <w:kern w:val="0"/>
          <w:sz w:val="32"/>
          <w:szCs w:val="32"/>
        </w:rPr>
      </w:pPr>
      <w:r w:rsidRPr="000F1C47">
        <w:rPr>
          <w:rFonts w:ascii="仿宋_GB2312" w:eastAsia="仿宋_GB2312" w:hAnsi="宋体" w:cs="仿宋_GB2312" w:hint="eastAsia"/>
          <w:kern w:val="0"/>
          <w:sz w:val="32"/>
          <w:szCs w:val="32"/>
        </w:rPr>
        <w:t>《评选办法》的起草经历了调查研究、起草论证、广泛征求意见、修改完善、审核等过程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，并经市法制办修改完善，</w:t>
      </w:r>
      <w:r w:rsidRPr="00B86F63">
        <w:rPr>
          <w:rFonts w:ascii="仿宋_GB2312" w:eastAsia="仿宋_GB2312" w:hAnsi="宋体" w:cs="仿宋_GB2312" w:hint="eastAsia"/>
          <w:kern w:val="0"/>
          <w:sz w:val="32"/>
          <w:szCs w:val="32"/>
        </w:rPr>
        <w:t>市政府审议拟定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</w:t>
      </w:r>
      <w:r w:rsidRPr="000F1C47">
        <w:rPr>
          <w:rFonts w:ascii="仿宋_GB2312" w:eastAsia="仿宋_GB2312" w:hAnsi="宋体" w:cs="仿宋_GB2312" w:hint="eastAsia"/>
          <w:kern w:val="0"/>
          <w:sz w:val="32"/>
          <w:szCs w:val="32"/>
        </w:rPr>
        <w:t>相关文件依据如下：</w:t>
      </w:r>
    </w:p>
    <w:p w:rsidR="004E63BC" w:rsidRPr="000F1C47" w:rsidRDefault="004E63BC" w:rsidP="008215B2">
      <w:pPr>
        <w:widowControl/>
        <w:shd w:val="clear" w:color="auto" w:fill="FFFFFF"/>
        <w:adjustRightInd w:val="0"/>
        <w:snapToGrid w:val="0"/>
        <w:spacing w:line="600" w:lineRule="exact"/>
        <w:ind w:firstLineChars="196" w:firstLine="627"/>
        <w:rPr>
          <w:rFonts w:ascii="仿宋_GB2312" w:eastAsia="仿宋_GB2312" w:hAnsi="宋体-18030" w:cs="Times New Roman"/>
          <w:kern w:val="0"/>
          <w:sz w:val="32"/>
          <w:szCs w:val="32"/>
        </w:rPr>
      </w:pPr>
      <w:r w:rsidRPr="000F1C47">
        <w:rPr>
          <w:rFonts w:ascii="仿宋_GB2312" w:eastAsia="仿宋_GB2312" w:hAnsi="宋体-18030" w:cs="仿宋_GB2312"/>
          <w:kern w:val="0"/>
          <w:sz w:val="32"/>
          <w:szCs w:val="32"/>
        </w:rPr>
        <w:t>1.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《中华人民共和国科学技术普及法》；</w:t>
      </w:r>
    </w:p>
    <w:p w:rsidR="004E63BC" w:rsidRPr="000F1C47" w:rsidRDefault="004E63BC" w:rsidP="008215B2">
      <w:pPr>
        <w:widowControl/>
        <w:shd w:val="clear" w:color="auto" w:fill="FFFFFF"/>
        <w:adjustRightInd w:val="0"/>
        <w:snapToGrid w:val="0"/>
        <w:spacing w:line="600" w:lineRule="exact"/>
        <w:ind w:firstLineChars="196" w:firstLine="627"/>
        <w:rPr>
          <w:rFonts w:ascii="仿宋_GB2312" w:eastAsia="仿宋_GB2312" w:hAnsi="宋体-18030" w:cs="Times New Roman"/>
          <w:kern w:val="0"/>
          <w:sz w:val="32"/>
          <w:szCs w:val="32"/>
        </w:rPr>
      </w:pPr>
      <w:r w:rsidRPr="000F1C47">
        <w:rPr>
          <w:rFonts w:ascii="仿宋_GB2312" w:eastAsia="仿宋_GB2312" w:hAnsi="宋体-18030" w:cs="仿宋_GB2312"/>
          <w:kern w:val="0"/>
          <w:sz w:val="32"/>
          <w:szCs w:val="32"/>
        </w:rPr>
        <w:t>2.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《国家教育事业发展“十三五”规划》；</w:t>
      </w:r>
    </w:p>
    <w:p w:rsidR="004E63BC" w:rsidRPr="000F1C47" w:rsidRDefault="004E63BC" w:rsidP="008215B2">
      <w:pPr>
        <w:widowControl/>
        <w:shd w:val="clear" w:color="auto" w:fill="FFFFFF"/>
        <w:adjustRightInd w:val="0"/>
        <w:snapToGrid w:val="0"/>
        <w:spacing w:line="600" w:lineRule="exact"/>
        <w:ind w:firstLineChars="196" w:firstLine="627"/>
        <w:rPr>
          <w:rFonts w:ascii="仿宋_GB2312" w:eastAsia="仿宋_GB2312" w:hAnsi="宋体-18030" w:cs="Times New Roman"/>
          <w:kern w:val="0"/>
          <w:sz w:val="32"/>
          <w:szCs w:val="32"/>
        </w:rPr>
      </w:pPr>
      <w:r w:rsidRPr="000F1C47">
        <w:rPr>
          <w:rFonts w:ascii="仿宋_GB2312" w:eastAsia="仿宋_GB2312" w:hAnsi="宋体-18030" w:cs="仿宋_GB2312"/>
          <w:kern w:val="0"/>
          <w:sz w:val="32"/>
          <w:szCs w:val="32"/>
        </w:rPr>
        <w:t>3.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《全民科学素质行动计划纲要</w:t>
      </w:r>
      <w:r w:rsidRPr="000F1C47">
        <w:rPr>
          <w:rFonts w:ascii="仿宋_GB2312" w:eastAsia="仿宋_GB2312" w:hAnsi="宋体-18030" w:cs="仿宋_GB2312"/>
          <w:kern w:val="0"/>
          <w:sz w:val="32"/>
          <w:szCs w:val="32"/>
        </w:rPr>
        <w:t>(2006-2010-2020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年</w:t>
      </w:r>
      <w:r w:rsidRPr="000F1C47">
        <w:rPr>
          <w:rFonts w:ascii="仿宋_GB2312" w:eastAsia="仿宋_GB2312" w:hAnsi="宋体-18030" w:cs="仿宋_GB2312"/>
          <w:kern w:val="0"/>
          <w:sz w:val="32"/>
          <w:szCs w:val="32"/>
        </w:rPr>
        <w:t>)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》</w:t>
      </w:r>
      <w:r w:rsidRPr="000F1C47">
        <w:rPr>
          <w:rFonts w:ascii="楷体_GB2312" w:eastAsia="楷体_GB2312" w:hAnsi="宋体" w:cs="楷体_GB2312" w:hint="eastAsia"/>
          <w:kern w:val="0"/>
          <w:sz w:val="32"/>
          <w:szCs w:val="32"/>
        </w:rPr>
        <w:t>（国发〔</w:t>
      </w:r>
      <w:r w:rsidRPr="000F1C47">
        <w:rPr>
          <w:rFonts w:ascii="楷体_GB2312" w:eastAsia="楷体_GB2312" w:hAnsi="宋体" w:cs="楷体_GB2312"/>
          <w:kern w:val="0"/>
          <w:sz w:val="32"/>
          <w:szCs w:val="32"/>
        </w:rPr>
        <w:t>2006</w:t>
      </w:r>
      <w:r w:rsidRPr="000F1C47">
        <w:rPr>
          <w:rFonts w:ascii="楷体_GB2312" w:eastAsia="楷体_GB2312" w:hAnsi="宋体" w:cs="楷体_GB2312" w:hint="eastAsia"/>
          <w:kern w:val="0"/>
          <w:sz w:val="32"/>
          <w:szCs w:val="32"/>
        </w:rPr>
        <w:t>〕</w:t>
      </w:r>
      <w:r w:rsidRPr="000F1C47">
        <w:rPr>
          <w:rFonts w:ascii="楷体_GB2312" w:eastAsia="楷体_GB2312" w:hAnsi="宋体" w:cs="楷体_GB2312"/>
          <w:kern w:val="0"/>
          <w:sz w:val="32"/>
          <w:szCs w:val="32"/>
        </w:rPr>
        <w:t>7</w:t>
      </w:r>
      <w:r w:rsidRPr="000F1C47">
        <w:rPr>
          <w:rFonts w:ascii="楷体_GB2312" w:eastAsia="楷体_GB2312" w:hAnsi="宋体" w:cs="楷体_GB2312" w:hint="eastAsia"/>
          <w:kern w:val="0"/>
          <w:sz w:val="32"/>
          <w:szCs w:val="32"/>
        </w:rPr>
        <w:t>号）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；</w:t>
      </w:r>
    </w:p>
    <w:p w:rsidR="004E63BC" w:rsidRPr="00A9682F" w:rsidRDefault="004E63BC" w:rsidP="008215B2">
      <w:pPr>
        <w:widowControl/>
        <w:shd w:val="clear" w:color="auto" w:fill="FFFFFF"/>
        <w:adjustRightInd w:val="0"/>
        <w:snapToGrid w:val="0"/>
        <w:spacing w:line="600" w:lineRule="exact"/>
        <w:ind w:firstLineChars="196" w:firstLine="627"/>
        <w:rPr>
          <w:rFonts w:ascii="仿宋_GB2312" w:eastAsia="仿宋_GB2312" w:hAnsi="宋体-18030" w:cs="Times New Roman"/>
          <w:kern w:val="0"/>
          <w:sz w:val="32"/>
          <w:szCs w:val="32"/>
        </w:rPr>
      </w:pPr>
      <w:r w:rsidRPr="000F1C47">
        <w:rPr>
          <w:rFonts w:ascii="仿宋_GB2312" w:eastAsia="仿宋_GB2312" w:hAnsi="宋体-18030" w:cs="仿宋_GB2312"/>
          <w:kern w:val="0"/>
          <w:sz w:val="32"/>
          <w:szCs w:val="32"/>
        </w:rPr>
        <w:t>4.</w:t>
      </w:r>
      <w:r w:rsidRPr="00A9682F">
        <w:rPr>
          <w:rFonts w:ascii="仿宋_GB2312" w:eastAsia="仿宋_GB2312" w:hAnsi="宋体-18030" w:cs="仿宋_GB2312" w:hint="eastAsia"/>
          <w:kern w:val="0"/>
          <w:sz w:val="32"/>
          <w:szCs w:val="32"/>
        </w:rPr>
        <w:t>《柳州市科协系统深化改革实施方案》（柳办发〔</w:t>
      </w:r>
      <w:r w:rsidRPr="00A9682F">
        <w:rPr>
          <w:rFonts w:ascii="仿宋_GB2312" w:eastAsia="仿宋_GB2312" w:hAnsi="宋体-18030" w:cs="仿宋_GB2312"/>
          <w:kern w:val="0"/>
          <w:sz w:val="32"/>
          <w:szCs w:val="32"/>
        </w:rPr>
        <w:t>2017</w:t>
      </w:r>
      <w:r w:rsidRPr="00A9682F">
        <w:rPr>
          <w:rFonts w:ascii="仿宋_GB2312" w:eastAsia="仿宋_GB2312" w:hAnsi="宋体-18030" w:cs="仿宋_GB2312" w:hint="eastAsia"/>
          <w:kern w:val="0"/>
          <w:sz w:val="32"/>
          <w:szCs w:val="32"/>
        </w:rPr>
        <w:t>〕</w:t>
      </w:r>
      <w:r w:rsidRPr="00A9682F">
        <w:rPr>
          <w:rFonts w:ascii="仿宋_GB2312" w:eastAsia="仿宋_GB2312" w:hAnsi="宋体-18030" w:cs="仿宋_GB2312"/>
          <w:kern w:val="0"/>
          <w:sz w:val="32"/>
          <w:szCs w:val="32"/>
        </w:rPr>
        <w:t>47</w:t>
      </w:r>
      <w:r w:rsidRPr="00A9682F">
        <w:rPr>
          <w:rFonts w:ascii="仿宋_GB2312" w:eastAsia="仿宋_GB2312" w:hAnsi="宋体-18030" w:cs="仿宋_GB2312" w:hint="eastAsia"/>
          <w:kern w:val="0"/>
          <w:sz w:val="32"/>
          <w:szCs w:val="32"/>
        </w:rPr>
        <w:t>号）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。</w:t>
      </w:r>
    </w:p>
    <w:p w:rsidR="004E63BC" w:rsidRPr="000F1C47" w:rsidRDefault="004E63BC" w:rsidP="008215B2">
      <w:pPr>
        <w:widowControl/>
        <w:shd w:val="clear" w:color="auto" w:fill="FFFFFF"/>
        <w:adjustRightInd w:val="0"/>
        <w:snapToGrid w:val="0"/>
        <w:spacing w:line="600" w:lineRule="exact"/>
        <w:ind w:firstLineChars="196" w:firstLine="627"/>
        <w:rPr>
          <w:rFonts w:ascii="黑体" w:eastAsia="黑体" w:hAnsi="黑体" w:cs="Times New Roman"/>
          <w:kern w:val="0"/>
          <w:sz w:val="32"/>
          <w:szCs w:val="32"/>
        </w:rPr>
      </w:pPr>
      <w:r w:rsidRPr="000F1C47">
        <w:rPr>
          <w:rFonts w:ascii="黑体" w:eastAsia="黑体" w:hAnsi="黑体" w:cs="黑体" w:hint="eastAsia"/>
          <w:kern w:val="0"/>
          <w:sz w:val="32"/>
          <w:szCs w:val="32"/>
        </w:rPr>
        <w:t>二、</w:t>
      </w:r>
      <w:r>
        <w:rPr>
          <w:rFonts w:ascii="黑体" w:eastAsia="黑体" w:hAnsi="黑体" w:cs="黑体" w:hint="eastAsia"/>
          <w:kern w:val="0"/>
          <w:sz w:val="32"/>
          <w:szCs w:val="32"/>
        </w:rPr>
        <w:t>相关法律法规、</w:t>
      </w:r>
      <w:r w:rsidRPr="000F1C47">
        <w:rPr>
          <w:rFonts w:ascii="黑体" w:eastAsia="黑体" w:hAnsi="黑体" w:cs="黑体" w:hint="eastAsia"/>
          <w:kern w:val="0"/>
          <w:sz w:val="32"/>
          <w:szCs w:val="32"/>
        </w:rPr>
        <w:t>政策条款及说明</w:t>
      </w:r>
    </w:p>
    <w:p w:rsidR="004E63BC" w:rsidRPr="000F1C47" w:rsidRDefault="004E63BC" w:rsidP="008215B2">
      <w:pPr>
        <w:widowControl/>
        <w:shd w:val="clear" w:color="auto" w:fill="FFFFFF"/>
        <w:adjustRightInd w:val="0"/>
        <w:snapToGrid w:val="0"/>
        <w:spacing w:line="600" w:lineRule="exact"/>
        <w:ind w:firstLineChars="196" w:firstLine="627"/>
        <w:rPr>
          <w:rFonts w:ascii="楷体_GB2312" w:eastAsia="楷体_GB2312" w:hAnsi="宋体" w:cs="Times New Roman"/>
          <w:kern w:val="0"/>
          <w:sz w:val="32"/>
          <w:szCs w:val="32"/>
        </w:rPr>
      </w:pPr>
      <w:r w:rsidRPr="000F1C47">
        <w:rPr>
          <w:rFonts w:ascii="楷体_GB2312" w:eastAsia="楷体_GB2312" w:hAnsi="宋体" w:cs="楷体_GB2312" w:hint="eastAsia"/>
          <w:kern w:val="0"/>
          <w:sz w:val="32"/>
          <w:szCs w:val="32"/>
        </w:rPr>
        <w:t>（一）</w:t>
      </w:r>
      <w:r w:rsidRPr="000F1C47">
        <w:rPr>
          <w:rFonts w:ascii="楷体_GB2312" w:eastAsia="楷体_GB2312" w:hAnsi="宋体-18030" w:cs="楷体_GB2312" w:hint="eastAsia"/>
          <w:kern w:val="0"/>
          <w:sz w:val="32"/>
          <w:szCs w:val="32"/>
        </w:rPr>
        <w:t>《中华人民共和国科学技术普及法》（以下简称《科学技术普及法》）</w:t>
      </w:r>
    </w:p>
    <w:p w:rsidR="004E63BC" w:rsidRPr="000F1C47" w:rsidRDefault="004E63BC" w:rsidP="008215B2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-18030" w:cs="Times New Roman"/>
          <w:kern w:val="0"/>
          <w:sz w:val="32"/>
          <w:szCs w:val="32"/>
        </w:rPr>
      </w:pPr>
      <w:r w:rsidRPr="000F1C47">
        <w:rPr>
          <w:rFonts w:ascii="仿宋_GB2312" w:eastAsia="仿宋_GB2312" w:hAnsi="宋体-18030" w:cs="仿宋_GB2312"/>
          <w:kern w:val="0"/>
          <w:sz w:val="32"/>
          <w:szCs w:val="32"/>
        </w:rPr>
        <w:t>1.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依据条款：第三章</w:t>
      </w:r>
      <w:r w:rsidRPr="003643E9">
        <w:rPr>
          <w:rFonts w:ascii="仿宋_GB2312" w:eastAsia="仿宋_GB2312" w:hAnsi="宋体-18030" w:cs="仿宋_GB2312" w:hint="eastAsia"/>
          <w:kern w:val="0"/>
          <w:sz w:val="32"/>
          <w:szCs w:val="32"/>
        </w:rPr>
        <w:t>第二十九条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之“</w:t>
      </w:r>
      <w:r w:rsidRPr="003643E9">
        <w:rPr>
          <w:rFonts w:ascii="仿宋_GB2312" w:eastAsia="仿宋_GB2312" w:hAnsi="宋体-18030" w:cs="仿宋_GB2312" w:hint="eastAsia"/>
          <w:kern w:val="0"/>
          <w:sz w:val="32"/>
          <w:szCs w:val="32"/>
        </w:rPr>
        <w:t>各级人民政府、科学技术协会和有关单位都应当支持科普工作者开展科普工作，对在科普工作中做出重要贡献的组织和个人，予以表彰和奖励。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”</w:t>
      </w:r>
    </w:p>
    <w:p w:rsidR="004E63BC" w:rsidRPr="000F1C47" w:rsidRDefault="004E63BC" w:rsidP="008215B2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-18030" w:cs="Times New Roman"/>
          <w:kern w:val="0"/>
          <w:sz w:val="32"/>
          <w:szCs w:val="32"/>
        </w:rPr>
      </w:pPr>
      <w:r w:rsidRPr="000F1C47">
        <w:rPr>
          <w:rFonts w:ascii="仿宋_GB2312" w:eastAsia="仿宋_GB2312" w:hAnsi="宋体-18030" w:cs="仿宋_GB2312"/>
          <w:kern w:val="0"/>
          <w:sz w:val="32"/>
          <w:szCs w:val="32"/>
        </w:rPr>
        <w:t>2.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政策说明：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为</w:t>
      </w:r>
      <w:r w:rsidRPr="002B5BBD">
        <w:rPr>
          <w:rFonts w:ascii="仿宋_GB2312" w:eastAsia="仿宋_GB2312" w:hAnsi="宋体-18030" w:cs="仿宋_GB2312" w:hint="eastAsia"/>
          <w:kern w:val="0"/>
          <w:sz w:val="32"/>
          <w:szCs w:val="32"/>
        </w:rPr>
        <w:t>实施科教兴国战略和可持续发展战略，加强科学技术普及工作，提高公民的科学文化素质，推动经济发展和社会进步，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国家</w:t>
      </w:r>
      <w:r w:rsidRPr="002B5BBD">
        <w:rPr>
          <w:rFonts w:ascii="仿宋_GB2312" w:eastAsia="仿宋_GB2312" w:hAnsi="宋体-18030" w:cs="仿宋_GB2312" w:hint="eastAsia"/>
          <w:kern w:val="0"/>
          <w:sz w:val="32"/>
          <w:szCs w:val="32"/>
        </w:rPr>
        <w:t>根据宪法和有关法律制定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了</w:t>
      </w:r>
      <w:r w:rsidRPr="00B86F63">
        <w:rPr>
          <w:rFonts w:ascii="仿宋_GB2312" w:eastAsia="仿宋_GB2312" w:hAnsi="宋体-18030" w:cs="仿宋_GB2312" w:hint="eastAsia"/>
          <w:kern w:val="0"/>
          <w:sz w:val="32"/>
          <w:szCs w:val="32"/>
        </w:rPr>
        <w:t>《科学技术普及法》</w:t>
      </w:r>
      <w:r w:rsidRPr="002B5BBD">
        <w:rPr>
          <w:rFonts w:ascii="仿宋_GB2312" w:eastAsia="仿宋_GB2312" w:hAnsi="宋体-18030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其意义在于</w:t>
      </w:r>
      <w:r w:rsidRPr="002B5BBD">
        <w:rPr>
          <w:rFonts w:ascii="仿宋_GB2312" w:eastAsia="仿宋_GB2312" w:hAnsi="宋体-18030" w:cs="仿宋_GB2312" w:hint="eastAsia"/>
          <w:kern w:val="0"/>
          <w:sz w:val="32"/>
          <w:szCs w:val="32"/>
        </w:rPr>
        <w:t>普及科学技术知识、倡导科学方法、传播科学思想、弘扬科学精神的活动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。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青少年学生作为科普活动的参与者，是科普工作、活动开展的主要参与者，在国家科技发展进程中是必不可少的重要一环，对科普工作的有序推进有一定的贡献，因此应予以适当表彰。获得国际或国家级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科技赛事、信息奥赛等项目的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一、二、三等奖，是开展科普教育取得丰硕成果的有力体现，对提升地区科技教育影响力有重要意义。</w:t>
      </w:r>
    </w:p>
    <w:p w:rsidR="004E63BC" w:rsidRPr="000F1C47" w:rsidRDefault="004E63BC" w:rsidP="008215B2">
      <w:pPr>
        <w:widowControl/>
        <w:shd w:val="clear" w:color="auto" w:fill="FFFFFF"/>
        <w:adjustRightInd w:val="0"/>
        <w:snapToGrid w:val="0"/>
        <w:spacing w:line="600" w:lineRule="exact"/>
        <w:ind w:firstLineChars="196" w:firstLine="627"/>
        <w:rPr>
          <w:rFonts w:ascii="楷体_GB2312" w:eastAsia="楷体_GB2312" w:hAnsi="宋体" w:cs="Times New Roman"/>
          <w:kern w:val="0"/>
          <w:sz w:val="32"/>
          <w:szCs w:val="32"/>
        </w:rPr>
      </w:pPr>
      <w:r w:rsidRPr="000F1C47">
        <w:rPr>
          <w:rFonts w:ascii="楷体_GB2312" w:eastAsia="楷体_GB2312" w:hAnsi="宋体" w:cs="楷体_GB2312" w:hint="eastAsia"/>
          <w:kern w:val="0"/>
          <w:sz w:val="32"/>
          <w:szCs w:val="32"/>
        </w:rPr>
        <w:t>（二）《国家教育事业发展“十三五”规划》</w:t>
      </w:r>
    </w:p>
    <w:p w:rsidR="004E63BC" w:rsidRPr="000F1C47" w:rsidRDefault="004E63BC" w:rsidP="008215B2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-18030" w:cs="Times New Roman"/>
          <w:kern w:val="0"/>
          <w:sz w:val="32"/>
          <w:szCs w:val="32"/>
        </w:rPr>
      </w:pPr>
      <w:r w:rsidRPr="000F1C47">
        <w:rPr>
          <w:rFonts w:ascii="仿宋_GB2312" w:eastAsia="仿宋_GB2312" w:hAnsi="宋体-18030" w:cs="仿宋_GB2312"/>
          <w:kern w:val="0"/>
          <w:sz w:val="32"/>
          <w:szCs w:val="32"/>
        </w:rPr>
        <w:t>1.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依据条款：“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……</w:t>
      </w:r>
      <w:r w:rsidRPr="00FD1265">
        <w:rPr>
          <w:rFonts w:ascii="仿宋_GB2312" w:eastAsia="仿宋_GB2312" w:hAnsi="宋体-18030" w:cs="仿宋_GB2312" w:hint="eastAsia"/>
          <w:kern w:val="0"/>
          <w:sz w:val="32"/>
          <w:szCs w:val="32"/>
        </w:rPr>
        <w:t>改进人才培养支持机制，大力培养引进学科领军人才、高层次科技创新人才和青年拔尖人才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……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、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……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大力宣传和表彰优秀教师、师德标兵，提升教师职业的崇高感和荣誉感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……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”</w:t>
      </w:r>
    </w:p>
    <w:p w:rsidR="004E63BC" w:rsidRPr="000F1C47" w:rsidRDefault="004E63BC" w:rsidP="008215B2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-18030" w:cs="Times New Roman"/>
          <w:kern w:val="0"/>
          <w:sz w:val="32"/>
          <w:szCs w:val="32"/>
        </w:rPr>
      </w:pPr>
      <w:r w:rsidRPr="000F1C47">
        <w:rPr>
          <w:rFonts w:ascii="仿宋_GB2312" w:eastAsia="仿宋_GB2312" w:hAnsi="宋体-18030" w:cs="仿宋_GB2312"/>
          <w:kern w:val="0"/>
          <w:sz w:val="32"/>
          <w:szCs w:val="32"/>
        </w:rPr>
        <w:t>2.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政策说明：人才是国家综合实力提升、社会蓬勃发展的基础，而科技是第一生产力，是国家综合实力的最直接体现，因此，支持科技人才的培养，推进人才培养机制的完善是当前的一大重要任务。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青少年、科技教师是科技教育、科技创新发展的生力军，属于科技人才及其培养对象的范畴，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大力宣传和表彰优秀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，对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提升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青少年、科技教师参与科技教育活动的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荣誉感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有帮助。</w:t>
      </w:r>
    </w:p>
    <w:p w:rsidR="004E63BC" w:rsidRPr="000F1C47" w:rsidRDefault="004E63BC" w:rsidP="008215B2">
      <w:pPr>
        <w:widowControl/>
        <w:shd w:val="clear" w:color="auto" w:fill="FFFFFF"/>
        <w:adjustRightInd w:val="0"/>
        <w:snapToGrid w:val="0"/>
        <w:spacing w:line="600" w:lineRule="exact"/>
        <w:ind w:firstLineChars="196" w:firstLine="627"/>
        <w:rPr>
          <w:rFonts w:ascii="楷体_GB2312" w:eastAsia="楷体_GB2312" w:hAnsi="宋体" w:cs="Times New Roman"/>
          <w:kern w:val="0"/>
          <w:sz w:val="32"/>
          <w:szCs w:val="32"/>
        </w:rPr>
      </w:pPr>
      <w:r w:rsidRPr="000F1C47">
        <w:rPr>
          <w:rFonts w:ascii="楷体_GB2312" w:eastAsia="楷体_GB2312" w:hAnsi="宋体" w:cs="楷体_GB2312" w:hint="eastAsia"/>
          <w:kern w:val="0"/>
          <w:sz w:val="32"/>
          <w:szCs w:val="32"/>
        </w:rPr>
        <w:t>（三）《全民科学素质行动计划纲要</w:t>
      </w:r>
      <w:r w:rsidRPr="000F1C47">
        <w:rPr>
          <w:rFonts w:ascii="楷体_GB2312" w:eastAsia="楷体_GB2312" w:hAnsi="宋体" w:cs="楷体_GB2312"/>
          <w:kern w:val="0"/>
          <w:sz w:val="32"/>
          <w:szCs w:val="32"/>
        </w:rPr>
        <w:t>(2006-2010-2020</w:t>
      </w:r>
      <w:r w:rsidRPr="000F1C47">
        <w:rPr>
          <w:rFonts w:ascii="楷体_GB2312" w:eastAsia="楷体_GB2312" w:hAnsi="宋体" w:cs="楷体_GB2312" w:hint="eastAsia"/>
          <w:kern w:val="0"/>
          <w:sz w:val="32"/>
          <w:szCs w:val="32"/>
        </w:rPr>
        <w:t>年</w:t>
      </w:r>
      <w:r w:rsidRPr="000F1C47">
        <w:rPr>
          <w:rFonts w:ascii="楷体_GB2312" w:eastAsia="楷体_GB2312" w:hAnsi="宋体" w:cs="楷体_GB2312"/>
          <w:kern w:val="0"/>
          <w:sz w:val="32"/>
          <w:szCs w:val="32"/>
        </w:rPr>
        <w:t>)</w:t>
      </w:r>
      <w:r w:rsidRPr="000F1C47">
        <w:rPr>
          <w:rFonts w:ascii="楷体_GB2312" w:eastAsia="楷体_GB2312" w:hAnsi="宋体" w:cs="楷体_GB2312" w:hint="eastAsia"/>
          <w:kern w:val="0"/>
          <w:sz w:val="32"/>
          <w:szCs w:val="32"/>
        </w:rPr>
        <w:t>》（国发〔</w:t>
      </w:r>
      <w:r w:rsidRPr="000F1C47">
        <w:rPr>
          <w:rFonts w:ascii="楷体_GB2312" w:eastAsia="楷体_GB2312" w:hAnsi="宋体" w:cs="楷体_GB2312"/>
          <w:kern w:val="0"/>
          <w:sz w:val="32"/>
          <w:szCs w:val="32"/>
        </w:rPr>
        <w:t>2006</w:t>
      </w:r>
      <w:r w:rsidRPr="000F1C47">
        <w:rPr>
          <w:rFonts w:ascii="楷体_GB2312" w:eastAsia="楷体_GB2312" w:hAnsi="宋体" w:cs="楷体_GB2312" w:hint="eastAsia"/>
          <w:kern w:val="0"/>
          <w:sz w:val="32"/>
          <w:szCs w:val="32"/>
        </w:rPr>
        <w:t>〕</w:t>
      </w:r>
      <w:r w:rsidRPr="000F1C47">
        <w:rPr>
          <w:rFonts w:ascii="楷体_GB2312" w:eastAsia="楷体_GB2312" w:hAnsi="宋体" w:cs="楷体_GB2312"/>
          <w:kern w:val="0"/>
          <w:sz w:val="32"/>
          <w:szCs w:val="32"/>
        </w:rPr>
        <w:t>7</w:t>
      </w:r>
      <w:r w:rsidRPr="000F1C47">
        <w:rPr>
          <w:rFonts w:ascii="楷体_GB2312" w:eastAsia="楷体_GB2312" w:hAnsi="宋体" w:cs="楷体_GB2312" w:hint="eastAsia"/>
          <w:kern w:val="0"/>
          <w:sz w:val="32"/>
          <w:szCs w:val="32"/>
        </w:rPr>
        <w:t>号）</w:t>
      </w:r>
    </w:p>
    <w:p w:rsidR="004E63BC" w:rsidRPr="000F1C47" w:rsidRDefault="004E63BC" w:rsidP="008215B2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-18030" w:cs="Times New Roman"/>
          <w:kern w:val="0"/>
          <w:sz w:val="32"/>
          <w:szCs w:val="32"/>
        </w:rPr>
      </w:pPr>
      <w:r w:rsidRPr="000F1C47">
        <w:rPr>
          <w:rFonts w:ascii="仿宋_GB2312" w:eastAsia="仿宋_GB2312" w:hAnsi="宋体-18030" w:cs="仿宋_GB2312"/>
          <w:kern w:val="0"/>
          <w:sz w:val="32"/>
          <w:szCs w:val="32"/>
        </w:rPr>
        <w:t>1.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依据条款：“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……</w:t>
      </w:r>
      <w:r w:rsidRPr="0032598D">
        <w:rPr>
          <w:rFonts w:ascii="仿宋_GB2312" w:eastAsia="仿宋_GB2312" w:hAnsi="宋体-18030" w:cs="仿宋_GB2312" w:hint="eastAsia"/>
          <w:kern w:val="0"/>
          <w:sz w:val="32"/>
          <w:szCs w:val="32"/>
        </w:rPr>
        <w:t>建立有效机制和相应激励措施，充分调动在职科技工作者、大学生、研究生和离退休科技、教育、传媒工作者等各界人士参加公民科学素质建设的积极性，发挥他们的专业和技术特长，形成一支规模宏大飞素质较高的兼职人才队伍和志愿者队伍。对在公民科学素质建设中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做出</w:t>
      </w:r>
      <w:r w:rsidRPr="0032598D">
        <w:rPr>
          <w:rFonts w:ascii="仿宋_GB2312" w:eastAsia="仿宋_GB2312" w:hAnsi="宋体-18030" w:cs="仿宋_GB2312" w:hint="eastAsia"/>
          <w:kern w:val="0"/>
          <w:sz w:val="32"/>
          <w:szCs w:val="32"/>
        </w:rPr>
        <w:t>重要贡献的个人和组织予以表彰和奖励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……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。</w:t>
      </w:r>
    </w:p>
    <w:p w:rsidR="004E63BC" w:rsidRPr="000F1C47" w:rsidRDefault="004E63BC" w:rsidP="008215B2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-18030" w:cs="Times New Roman"/>
          <w:kern w:val="0"/>
          <w:sz w:val="32"/>
          <w:szCs w:val="32"/>
        </w:rPr>
      </w:pPr>
      <w:r w:rsidRPr="000F1C47">
        <w:rPr>
          <w:rFonts w:ascii="仿宋_GB2312" w:eastAsia="仿宋_GB2312" w:hAnsi="宋体-18030" w:cs="仿宋_GB2312"/>
          <w:kern w:val="0"/>
          <w:sz w:val="32"/>
          <w:szCs w:val="32"/>
        </w:rPr>
        <w:t>2.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政策说明：党的十八大以来，国家高度重视科技人才队伍的建设和培养，习近平总书记曾指出“加强科技人才队伍建设。推进自主创新，人才是关键。没有强大人才队伍作后盾，自主创新就是无源之水、无本之木。”因此，要深化科技体制改革，充分调动广大青少年、科技教师参与科技发展的积极性，必须充分尊重科技人才，保障科技人才权益，最大限度激发科技人才的创造活力。使创新者有得到应有荣誉和回报的“获得感”，增强他们的持久创造动力。</w:t>
      </w:r>
    </w:p>
    <w:p w:rsidR="004E63BC" w:rsidRPr="003177FC" w:rsidRDefault="004E63BC" w:rsidP="008215B2">
      <w:pPr>
        <w:spacing w:line="600" w:lineRule="exact"/>
        <w:ind w:firstLineChars="200" w:firstLine="640"/>
        <w:rPr>
          <w:rFonts w:ascii="楷体_GB2312" w:eastAsia="楷体_GB2312" w:hAnsi="宋体" w:cs="Times New Roman"/>
          <w:kern w:val="0"/>
          <w:sz w:val="32"/>
          <w:szCs w:val="32"/>
        </w:rPr>
      </w:pPr>
      <w:r w:rsidRPr="000F1C47">
        <w:rPr>
          <w:rFonts w:ascii="楷体_GB2312" w:eastAsia="楷体_GB2312" w:hAnsi="宋体" w:cs="楷体_GB2312" w:hint="eastAsia"/>
          <w:kern w:val="0"/>
          <w:sz w:val="32"/>
          <w:szCs w:val="32"/>
        </w:rPr>
        <w:t>（四）</w:t>
      </w:r>
      <w:r w:rsidRPr="003177FC">
        <w:rPr>
          <w:rFonts w:ascii="楷体_GB2312" w:eastAsia="楷体_GB2312" w:hAnsi="宋体" w:cs="楷体_GB2312" w:hint="eastAsia"/>
          <w:kern w:val="0"/>
          <w:sz w:val="32"/>
          <w:szCs w:val="32"/>
        </w:rPr>
        <w:t>《柳州市科协系统深化改革实施方案》</w:t>
      </w:r>
      <w:r>
        <w:rPr>
          <w:rFonts w:ascii="楷体_GB2312" w:eastAsia="楷体_GB2312" w:hAnsi="宋体" w:cs="楷体_GB2312" w:hint="eastAsia"/>
          <w:kern w:val="0"/>
          <w:sz w:val="32"/>
          <w:szCs w:val="32"/>
        </w:rPr>
        <w:t>（</w:t>
      </w:r>
      <w:r w:rsidRPr="003177FC">
        <w:rPr>
          <w:rFonts w:ascii="楷体_GB2312" w:eastAsia="楷体_GB2312" w:hAnsi="宋体" w:cs="楷体_GB2312" w:hint="eastAsia"/>
          <w:kern w:val="0"/>
          <w:sz w:val="32"/>
          <w:szCs w:val="32"/>
        </w:rPr>
        <w:t>柳办发〔</w:t>
      </w:r>
      <w:r w:rsidRPr="003177FC">
        <w:rPr>
          <w:rFonts w:ascii="楷体_GB2312" w:eastAsia="楷体_GB2312" w:hAnsi="宋体" w:cs="楷体_GB2312"/>
          <w:kern w:val="0"/>
          <w:sz w:val="32"/>
          <w:szCs w:val="32"/>
        </w:rPr>
        <w:t>2017</w:t>
      </w:r>
      <w:r w:rsidRPr="003177FC">
        <w:rPr>
          <w:rFonts w:ascii="楷体_GB2312" w:eastAsia="楷体_GB2312" w:hAnsi="宋体" w:cs="楷体_GB2312" w:hint="eastAsia"/>
          <w:kern w:val="0"/>
          <w:sz w:val="32"/>
          <w:szCs w:val="32"/>
        </w:rPr>
        <w:t>〕</w:t>
      </w:r>
      <w:r w:rsidRPr="003177FC">
        <w:rPr>
          <w:rFonts w:ascii="楷体_GB2312" w:eastAsia="楷体_GB2312" w:hAnsi="宋体" w:cs="楷体_GB2312"/>
          <w:kern w:val="0"/>
          <w:sz w:val="32"/>
          <w:szCs w:val="32"/>
        </w:rPr>
        <w:t>47</w:t>
      </w:r>
      <w:r w:rsidRPr="003177FC">
        <w:rPr>
          <w:rFonts w:ascii="楷体_GB2312" w:eastAsia="楷体_GB2312" w:hAnsi="宋体" w:cs="楷体_GB2312" w:hint="eastAsia"/>
          <w:kern w:val="0"/>
          <w:sz w:val="32"/>
          <w:szCs w:val="32"/>
        </w:rPr>
        <w:t>号</w:t>
      </w:r>
      <w:r>
        <w:rPr>
          <w:rFonts w:ascii="楷体_GB2312" w:eastAsia="楷体_GB2312" w:hAnsi="宋体" w:cs="楷体_GB2312" w:hint="eastAsia"/>
          <w:kern w:val="0"/>
          <w:sz w:val="32"/>
          <w:szCs w:val="32"/>
        </w:rPr>
        <w:t>）</w:t>
      </w:r>
    </w:p>
    <w:p w:rsidR="004E63BC" w:rsidRPr="003177FC" w:rsidRDefault="004E63BC" w:rsidP="008215B2">
      <w:pPr>
        <w:spacing w:line="600" w:lineRule="exact"/>
        <w:ind w:firstLineChars="200" w:firstLine="640"/>
        <w:rPr>
          <w:rFonts w:ascii="方正小标宋简体" w:eastAsia="方正小标宋简体" w:cs="Times New Roman"/>
          <w:spacing w:val="8"/>
          <w:sz w:val="44"/>
          <w:szCs w:val="44"/>
        </w:rPr>
      </w:pPr>
      <w:r>
        <w:rPr>
          <w:rFonts w:ascii="仿宋_GB2312" w:eastAsia="仿宋_GB2312" w:hAnsi="宋体-18030" w:cs="仿宋_GB2312"/>
          <w:kern w:val="0"/>
          <w:sz w:val="32"/>
          <w:szCs w:val="32"/>
        </w:rPr>
        <w:t>1.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依据条款：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第四条第四点之“……</w:t>
      </w:r>
      <w:r w:rsidRPr="000C7AA1">
        <w:rPr>
          <w:rFonts w:eastAsia="仿宋_GB2312" w:cs="仿宋_GB2312" w:hint="eastAsia"/>
          <w:color w:val="000000"/>
          <w:spacing w:val="8"/>
          <w:sz w:val="32"/>
          <w:szCs w:val="32"/>
        </w:rPr>
        <w:t>鼓励优秀学会参照市医学会承接政府转移职能模式，积极发挥学会在承接科技评估、成果评定、人才评价、工程技术领域职业资格认定、技术标准研制、科技奖励推荐等科技类社会化公共服务职能中的作用，激发学会和科技工作者承接政府转移职能的积极性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……”；第三点第二条之“……</w:t>
      </w:r>
      <w:r w:rsidRPr="000C7AA1">
        <w:rPr>
          <w:rFonts w:eastAsia="仿宋_GB2312" w:cs="仿宋_GB2312" w:hint="eastAsia"/>
          <w:color w:val="000000"/>
          <w:spacing w:val="8"/>
          <w:sz w:val="32"/>
          <w:szCs w:val="32"/>
        </w:rPr>
        <w:t>加大青年科技人才培养力度，配合自治区科协做好青年科技人才托举工程，助推我市青年创新人才脱颖而出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……”。</w:t>
      </w:r>
    </w:p>
    <w:p w:rsidR="004E63BC" w:rsidRPr="000F1C47" w:rsidRDefault="004E63BC" w:rsidP="00086D9E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-18030" w:cs="Times New Roman"/>
          <w:kern w:val="0"/>
          <w:sz w:val="32"/>
          <w:szCs w:val="32"/>
        </w:rPr>
      </w:pPr>
      <w:r>
        <w:rPr>
          <w:rFonts w:ascii="仿宋_GB2312" w:eastAsia="仿宋_GB2312" w:hAnsi="宋体-18030" w:cs="仿宋_GB2312"/>
          <w:kern w:val="0"/>
          <w:sz w:val="32"/>
          <w:szCs w:val="32"/>
        </w:rPr>
        <w:t>2.</w:t>
      </w:r>
      <w:r w:rsidRPr="000F1C47">
        <w:rPr>
          <w:rFonts w:ascii="仿宋_GB2312" w:eastAsia="仿宋_GB2312" w:hAnsi="宋体-18030" w:cs="仿宋_GB2312" w:hint="eastAsia"/>
          <w:kern w:val="0"/>
          <w:sz w:val="32"/>
          <w:szCs w:val="32"/>
        </w:rPr>
        <w:t>政策说明：</w:t>
      </w:r>
      <w:r w:rsidRPr="00392135">
        <w:rPr>
          <w:rFonts w:ascii="仿宋_GB2312" w:eastAsia="仿宋_GB2312" w:hAnsi="宋体-18030" w:cs="仿宋_GB2312" w:hint="eastAsia"/>
          <w:kern w:val="0"/>
          <w:sz w:val="32"/>
          <w:szCs w:val="32"/>
        </w:rPr>
        <w:t>科协系统深化改革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，</w:t>
      </w:r>
      <w:r w:rsidRPr="00392135">
        <w:rPr>
          <w:rFonts w:ascii="仿宋_GB2312" w:eastAsia="仿宋_GB2312" w:hAnsi="宋体-18030" w:cs="仿宋_GB2312" w:hint="eastAsia"/>
          <w:kern w:val="0"/>
          <w:sz w:val="32"/>
          <w:szCs w:val="32"/>
        </w:rPr>
        <w:t>是在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市委</w:t>
      </w:r>
      <w:r w:rsidRPr="00392135">
        <w:rPr>
          <w:rFonts w:ascii="仿宋_GB2312" w:eastAsia="仿宋_GB2312" w:hAnsi="宋体-18030" w:cs="仿宋_GB2312" w:hint="eastAsia"/>
          <w:kern w:val="0"/>
          <w:sz w:val="32"/>
          <w:szCs w:val="32"/>
        </w:rPr>
        <w:t>领导下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，</w:t>
      </w:r>
      <w:r w:rsidRPr="000C7AA1">
        <w:rPr>
          <w:rFonts w:eastAsia="仿宋_GB2312" w:cs="仿宋_GB2312" w:hint="eastAsia"/>
          <w:color w:val="000000"/>
          <w:spacing w:val="8"/>
          <w:sz w:val="32"/>
          <w:szCs w:val="32"/>
        </w:rPr>
        <w:t>深入贯彻落实中央和自治区党的群团工作会议精神，贯彻落实《中共中央关于加强和改进党的群团工作的意见》</w:t>
      </w:r>
      <w:r>
        <w:rPr>
          <w:rFonts w:eastAsia="仿宋_GB2312" w:cs="仿宋_GB2312" w:hint="eastAsia"/>
          <w:color w:val="000000"/>
          <w:spacing w:val="8"/>
          <w:sz w:val="32"/>
          <w:szCs w:val="32"/>
        </w:rPr>
        <w:t>、</w:t>
      </w:r>
      <w:r w:rsidRPr="000C7AA1">
        <w:rPr>
          <w:rFonts w:eastAsia="仿宋_GB2312" w:cs="仿宋_GB2312" w:hint="eastAsia"/>
          <w:color w:val="000000"/>
          <w:spacing w:val="8"/>
          <w:sz w:val="32"/>
          <w:szCs w:val="32"/>
        </w:rPr>
        <w:t>自治区党委《关于贯彻落实〈中共中央关于加强和改进党的群团工作的意见〉实施方案》</w:t>
      </w:r>
      <w:r>
        <w:rPr>
          <w:rFonts w:eastAsia="仿宋_GB2312" w:cs="仿宋_GB2312" w:hint="eastAsia"/>
          <w:color w:val="000000"/>
          <w:spacing w:val="8"/>
          <w:sz w:val="32"/>
          <w:szCs w:val="32"/>
        </w:rPr>
        <w:t>及</w:t>
      </w:r>
      <w:r w:rsidRPr="000C7AA1">
        <w:rPr>
          <w:rFonts w:eastAsia="仿宋_GB2312" w:cs="仿宋_GB2312" w:hint="eastAsia"/>
          <w:color w:val="000000"/>
          <w:spacing w:val="8"/>
          <w:sz w:val="32"/>
          <w:szCs w:val="32"/>
        </w:rPr>
        <w:t>《科协系统深化改革实施方案》和《广西壮族自治区科协系统深化改革实施方案》</w:t>
      </w:r>
      <w:r>
        <w:rPr>
          <w:rFonts w:eastAsia="仿宋_GB2312" w:cs="仿宋_GB2312" w:hint="eastAsia"/>
          <w:color w:val="000000"/>
          <w:spacing w:val="8"/>
          <w:sz w:val="32"/>
          <w:szCs w:val="32"/>
        </w:rPr>
        <w:t>有关文件</w:t>
      </w:r>
      <w:r w:rsidRPr="000C7AA1">
        <w:rPr>
          <w:rFonts w:eastAsia="仿宋_GB2312" w:cs="仿宋_GB2312" w:hint="eastAsia"/>
          <w:color w:val="000000"/>
          <w:spacing w:val="8"/>
          <w:sz w:val="32"/>
          <w:szCs w:val="32"/>
        </w:rPr>
        <w:t>要求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，进行的</w:t>
      </w:r>
      <w:r w:rsidRPr="00392135">
        <w:rPr>
          <w:rFonts w:ascii="仿宋_GB2312" w:eastAsia="仿宋_GB2312" w:hAnsi="宋体-18030" w:cs="仿宋_GB2312" w:hint="eastAsia"/>
          <w:kern w:val="0"/>
          <w:sz w:val="32"/>
          <w:szCs w:val="32"/>
        </w:rPr>
        <w:t>一次结构性改革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。</w:t>
      </w:r>
      <w:r w:rsidRPr="000C7AA1">
        <w:rPr>
          <w:rFonts w:eastAsia="仿宋_GB2312" w:cs="仿宋_GB2312" w:hint="eastAsia"/>
          <w:color w:val="000000"/>
          <w:spacing w:val="8"/>
          <w:sz w:val="32"/>
          <w:szCs w:val="32"/>
        </w:rPr>
        <w:t>《广西壮族自治区科协系统深化改革实施方案》</w:t>
      </w:r>
      <w:r>
        <w:rPr>
          <w:rFonts w:eastAsia="仿宋_GB2312" w:cs="仿宋_GB2312" w:hint="eastAsia"/>
          <w:color w:val="000000"/>
          <w:spacing w:val="8"/>
          <w:sz w:val="32"/>
          <w:szCs w:val="32"/>
        </w:rPr>
        <w:t>指出，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“</w:t>
      </w:r>
      <w:r w:rsidRPr="000A3F37">
        <w:rPr>
          <w:rFonts w:ascii="仿宋_GB2312" w:eastAsia="仿宋_GB2312" w:hAnsi="宋体-18030" w:cs="仿宋_GB2312" w:hint="eastAsia"/>
          <w:kern w:val="0"/>
          <w:sz w:val="32"/>
          <w:szCs w:val="32"/>
        </w:rPr>
        <w:t>各级政府部门应支持有条件的学会发挥承接科技评估、成果评定、人才评价、工程技术领域职业资格认定、技术标准研制、科技奖励推荐等科技类社会化公共服务职能作用。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”因此，大力支持</w:t>
      </w:r>
      <w:r w:rsidRPr="000A3F37">
        <w:rPr>
          <w:rFonts w:ascii="仿宋_GB2312" w:eastAsia="仿宋_GB2312" w:hAnsi="宋体-18030" w:cs="仿宋_GB2312" w:hint="eastAsia"/>
          <w:kern w:val="0"/>
          <w:sz w:val="32"/>
          <w:szCs w:val="32"/>
        </w:rPr>
        <w:t>科技奖励推荐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工作，是市委在经济社会体制改革的时代大背景下着力抓好区域科技教育、科技创新发展进程中应当做出的一项重要举措，有利于地区科技教育工作、科技人才培养的有序开展，有利于充分发挥地区科技类</w:t>
      </w:r>
      <w:r w:rsidRPr="000A3F37">
        <w:rPr>
          <w:rFonts w:ascii="仿宋_GB2312" w:eastAsia="仿宋_GB2312" w:hAnsi="宋体-18030" w:cs="仿宋_GB2312" w:hint="eastAsia"/>
          <w:kern w:val="0"/>
          <w:sz w:val="32"/>
          <w:szCs w:val="32"/>
        </w:rPr>
        <w:t>社会化公共服务职能</w:t>
      </w:r>
      <w:r>
        <w:rPr>
          <w:rFonts w:ascii="仿宋_GB2312" w:eastAsia="仿宋_GB2312" w:hAnsi="宋体-18030" w:cs="仿宋_GB2312" w:hint="eastAsia"/>
          <w:kern w:val="0"/>
          <w:sz w:val="32"/>
          <w:szCs w:val="32"/>
        </w:rPr>
        <w:t>，提升区域影响力。</w:t>
      </w:r>
    </w:p>
    <w:sectPr w:rsidR="004E63BC" w:rsidRPr="000F1C47" w:rsidSect="007D1C5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3BC" w:rsidRDefault="004E63BC" w:rsidP="00AD12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63BC" w:rsidRDefault="004E63BC" w:rsidP="00AD12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3BC" w:rsidRDefault="004E63BC" w:rsidP="00AD12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63BC" w:rsidRDefault="004E63BC" w:rsidP="00AD12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2FD"/>
    <w:rsid w:val="0001772D"/>
    <w:rsid w:val="0002434D"/>
    <w:rsid w:val="000549FB"/>
    <w:rsid w:val="00086D9E"/>
    <w:rsid w:val="000A3F37"/>
    <w:rsid w:val="000A6941"/>
    <w:rsid w:val="000C6350"/>
    <w:rsid w:val="000C7AA1"/>
    <w:rsid w:val="000F1C47"/>
    <w:rsid w:val="001D6683"/>
    <w:rsid w:val="001E502C"/>
    <w:rsid w:val="001F3B62"/>
    <w:rsid w:val="0021613D"/>
    <w:rsid w:val="00283687"/>
    <w:rsid w:val="002B5BBD"/>
    <w:rsid w:val="002F3FD6"/>
    <w:rsid w:val="00303614"/>
    <w:rsid w:val="003177FC"/>
    <w:rsid w:val="0032598D"/>
    <w:rsid w:val="00354B71"/>
    <w:rsid w:val="003643E9"/>
    <w:rsid w:val="00392135"/>
    <w:rsid w:val="003B3A2E"/>
    <w:rsid w:val="003E63DB"/>
    <w:rsid w:val="004A5762"/>
    <w:rsid w:val="004E63BC"/>
    <w:rsid w:val="005B3F25"/>
    <w:rsid w:val="005B4EB4"/>
    <w:rsid w:val="006021B2"/>
    <w:rsid w:val="00796F83"/>
    <w:rsid w:val="007D1C5E"/>
    <w:rsid w:val="007E7E04"/>
    <w:rsid w:val="008215B2"/>
    <w:rsid w:val="008C0449"/>
    <w:rsid w:val="009C06ED"/>
    <w:rsid w:val="00A35818"/>
    <w:rsid w:val="00A60E64"/>
    <w:rsid w:val="00A9682F"/>
    <w:rsid w:val="00AA3DCF"/>
    <w:rsid w:val="00AD12FD"/>
    <w:rsid w:val="00B86F63"/>
    <w:rsid w:val="00C106A0"/>
    <w:rsid w:val="00D1724C"/>
    <w:rsid w:val="00D22B84"/>
    <w:rsid w:val="00D53CC6"/>
    <w:rsid w:val="00D64A15"/>
    <w:rsid w:val="00DA293C"/>
    <w:rsid w:val="00E03912"/>
    <w:rsid w:val="00EE02CA"/>
    <w:rsid w:val="00EF0B80"/>
    <w:rsid w:val="00F07C90"/>
    <w:rsid w:val="00FA1993"/>
    <w:rsid w:val="00FD1265"/>
    <w:rsid w:val="00FF409B"/>
    <w:rsid w:val="00FF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71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2FD"/>
    <w:pPr>
      <w:keepNext/>
      <w:keepLines/>
      <w:spacing w:before="340" w:after="330" w:line="578" w:lineRule="auto"/>
      <w:outlineLvl w:val="0"/>
    </w:pPr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12FD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rsid w:val="00AD1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12F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D1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12FD"/>
    <w:rPr>
      <w:rFonts w:cs="Times New Roman"/>
      <w:sz w:val="18"/>
      <w:szCs w:val="18"/>
    </w:rPr>
  </w:style>
  <w:style w:type="character" w:customStyle="1" w:styleId="PlainTextChar">
    <w:name w:val="Plain Text Char"/>
    <w:uiPriority w:val="99"/>
    <w:locked/>
    <w:rsid w:val="00AD12FD"/>
    <w:rPr>
      <w:rFonts w:ascii="宋体" w:eastAsia="宋体"/>
      <w:sz w:val="24"/>
    </w:rPr>
  </w:style>
  <w:style w:type="paragraph" w:styleId="PlainText">
    <w:name w:val="Plain Text"/>
    <w:basedOn w:val="Normal"/>
    <w:link w:val="PlainTextChar2"/>
    <w:uiPriority w:val="99"/>
    <w:rsid w:val="00AD12FD"/>
    <w:pPr>
      <w:widowControl/>
      <w:spacing w:before="100" w:beforeAutospacing="1" w:after="100" w:afterAutospacing="1"/>
      <w:jc w:val="left"/>
    </w:pPr>
    <w:rPr>
      <w:rFonts w:ascii="宋体" w:cs="Times New Roman"/>
      <w:kern w:val="0"/>
      <w:sz w:val="24"/>
      <w:szCs w:val="24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  <w:style w:type="character" w:customStyle="1" w:styleId="PlainTextChar2">
    <w:name w:val="Plain Text Char2"/>
    <w:basedOn w:val="DefaultParagraphFont"/>
    <w:link w:val="PlainText"/>
    <w:uiPriority w:val="99"/>
    <w:semiHidden/>
    <w:locked/>
    <w:rsid w:val="00AD12FD"/>
    <w:rPr>
      <w:rFonts w:ascii="宋体" w:eastAsia="宋体" w:hAnsi="Courier New" w:cs="宋体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2B5BB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215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15B2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308</Words>
  <Characters>1762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《“柳州市青少年科技创新市长奖”评选办法》</dc:title>
  <dc:subject/>
  <dc:creator>Jason</dc:creator>
  <cp:keywords/>
  <dc:description/>
  <cp:lastModifiedBy>江涛</cp:lastModifiedBy>
  <cp:revision>2</cp:revision>
  <cp:lastPrinted>2018-08-15T04:02:00Z</cp:lastPrinted>
  <dcterms:created xsi:type="dcterms:W3CDTF">2018-08-24T09:56:00Z</dcterms:created>
  <dcterms:modified xsi:type="dcterms:W3CDTF">2018-08-24T09:56:00Z</dcterms:modified>
</cp:coreProperties>
</file>