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40" w:lineRule="auto"/>
        <w:rPr>
          <w:rFonts w:ascii="黑体" w:hAnsi="黑体" w:eastAsia="黑体" w:cs="宋体"/>
          <w:bCs/>
          <w:color w:val="000000" w:themeColor="text1"/>
          <w:sz w:val="32"/>
          <w:szCs w:val="32"/>
        </w:rPr>
      </w:pPr>
      <w:r>
        <w:rPr>
          <w:rFonts w:hint="eastAsia" w:ascii="黑体" w:hAnsi="黑体" w:eastAsia="黑体" w:cs="宋体"/>
          <w:bCs/>
          <w:color w:val="000000" w:themeColor="text1"/>
          <w:sz w:val="32"/>
          <w:szCs w:val="32"/>
        </w:rPr>
        <w:drawing>
          <wp:inline distT="0" distB="0" distL="114300" distR="114300">
            <wp:extent cx="5400675" cy="8091170"/>
            <wp:effectExtent l="0" t="0" r="9525" b="5080"/>
            <wp:docPr id="3" name="图片 3" descr="f6b8156dad61a03a7f573ed6e2c26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6b8156dad61a03a7f573ed6e2c26ec"/>
                    <pic:cNvPicPr>
                      <a:picLocks noChangeAspect="1"/>
                    </pic:cNvPicPr>
                  </pic:nvPicPr>
                  <pic:blipFill>
                    <a:blip r:embed="rId7"/>
                    <a:stretch>
                      <a:fillRect/>
                    </a:stretch>
                  </pic:blipFill>
                  <pic:spPr>
                    <a:xfrm>
                      <a:off x="0" y="0"/>
                      <a:ext cx="5400675" cy="8091170"/>
                    </a:xfrm>
                    <a:prstGeom prst="rect">
                      <a:avLst/>
                    </a:prstGeom>
                  </pic:spPr>
                </pic:pic>
              </a:graphicData>
            </a:graphic>
          </wp:inline>
        </w:drawing>
      </w:r>
      <w:r>
        <w:rPr>
          <w:rFonts w:hint="eastAsia" w:ascii="黑体" w:hAnsi="黑体" w:eastAsia="黑体" w:cs="宋体"/>
          <w:bCs/>
          <w:color w:val="000000" w:themeColor="text1"/>
          <w:sz w:val="32"/>
          <w:szCs w:val="32"/>
          <w:lang w:val="en-US" w:eastAsia="zh-CN"/>
        </w:rPr>
        <w:t xml:space="preserve"> </w:t>
      </w:r>
      <w:bookmarkStart w:id="0" w:name="_GoBack"/>
      <w:bookmarkEnd w:id="0"/>
      <w:r>
        <w:rPr>
          <w:rFonts w:hint="eastAsia" w:ascii="黑体" w:hAnsi="黑体" w:eastAsia="黑体" w:cs="宋体"/>
          <w:bCs/>
          <w:color w:val="000000" w:themeColor="text1"/>
          <w:sz w:val="32"/>
          <w:szCs w:val="32"/>
        </w:rPr>
        <w:t>附件1</w:t>
      </w:r>
    </w:p>
    <w:p>
      <w:pPr>
        <w:pStyle w:val="10"/>
        <w:spacing w:line="580" w:lineRule="exact"/>
        <w:rPr>
          <w:rFonts w:ascii="仿宋_GB2312" w:hAnsi="宋体" w:eastAsia="仿宋_GB2312" w:cs="宋体"/>
          <w:bCs/>
          <w:color w:val="000000" w:themeColor="text1"/>
          <w:sz w:val="32"/>
          <w:szCs w:val="32"/>
        </w:rPr>
      </w:pPr>
    </w:p>
    <w:p>
      <w:pPr>
        <w:pStyle w:val="10"/>
        <w:snapToGrid w:val="0"/>
        <w:spacing w:line="58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2020年柳州市全民科学素质行动攻坚方案</w:t>
      </w:r>
    </w:p>
    <w:p>
      <w:pPr>
        <w:pStyle w:val="10"/>
        <w:spacing w:line="540" w:lineRule="exact"/>
        <w:ind w:firstLine="640" w:firstLineChars="200"/>
        <w:rPr>
          <w:rFonts w:ascii="仿宋_GB2312" w:eastAsia="仿宋_GB2312"/>
          <w:color w:val="000000" w:themeColor="text1"/>
          <w:sz w:val="32"/>
          <w:szCs w:val="32"/>
        </w:rPr>
      </w:pPr>
    </w:p>
    <w:p>
      <w:pPr>
        <w:pStyle w:val="10"/>
        <w:spacing w:line="58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为贯彻落实《广西全民科学素质行动计划纲要实施方案（2016-2020）》和《广西壮族自治区人民政府 中国科学技术协会全面战略合作协议》精神，进一步提升我市公民科学素质发展水平，确保2020年完成柳州公民具备科学素质比例超过7.16%的目标任务，特制定本攻坚方案。</w:t>
      </w:r>
    </w:p>
    <w:p>
      <w:pPr>
        <w:pStyle w:val="10"/>
        <w:spacing w:line="580" w:lineRule="exact"/>
        <w:ind w:firstLine="640" w:firstLineChars="20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一、总体思路</w:t>
      </w:r>
    </w:p>
    <w:p>
      <w:pPr>
        <w:pStyle w:val="10"/>
        <w:spacing w:line="580" w:lineRule="exact"/>
        <w:ind w:firstLine="640" w:firstLineChars="200"/>
        <w:jc w:val="both"/>
        <w:rPr>
          <w:rFonts w:ascii="仿宋_GB2312" w:eastAsia="仿宋_GB2312"/>
          <w:color w:val="000000" w:themeColor="text1"/>
          <w:sz w:val="32"/>
          <w:szCs w:val="32"/>
        </w:rPr>
      </w:pPr>
      <w:r>
        <w:rPr>
          <w:rFonts w:hint="eastAsia" w:ascii="仿宋_GB2312" w:hAnsi="仿宋_GB2312" w:eastAsia="仿宋_GB2312" w:cs="仿宋_GB2312"/>
          <w:color w:val="000000" w:themeColor="text1"/>
          <w:sz w:val="32"/>
          <w:szCs w:val="32"/>
        </w:rPr>
        <w:t>坚持以习近平新时代中国特色社会主义思想为指导，深入贯彻落实党的十九大和十九届二中、三中、四中全会精神，认真落实柳州市委、市政府关于全民科学素质建设攻坚工作部署，充分发挥全民科学素质在实施创新驱动发展战略中的基础作用，贯彻</w:t>
      </w:r>
      <w:r>
        <w:rPr>
          <w:rFonts w:hint="eastAsia" w:ascii="仿宋_GB2312" w:eastAsia="仿宋_GB2312"/>
          <w:color w:val="000000" w:themeColor="text1"/>
          <w:sz w:val="32"/>
          <w:szCs w:val="32"/>
        </w:rPr>
        <w:t>新发展理念和高质量发展要求，精准发力，精准施策，凝心聚力、攻坚克难，为深入实施“实业兴市，开放强柳”战略，全力推进“三大建设”，全面建成小康社会，奋力实现“十三五”规划目标，为我市加快建设现代制造城、打造万亿工业强市作出更大贡献。</w:t>
      </w:r>
    </w:p>
    <w:p>
      <w:pPr>
        <w:pStyle w:val="10"/>
        <w:spacing w:line="580" w:lineRule="exact"/>
        <w:ind w:firstLine="640" w:firstLineChars="200"/>
        <w:jc w:val="both"/>
        <w:rPr>
          <w:rFonts w:ascii="黑体" w:hAnsi="黑体" w:eastAsia="黑体"/>
          <w:color w:val="000000" w:themeColor="text1"/>
          <w:sz w:val="32"/>
          <w:szCs w:val="32"/>
        </w:rPr>
      </w:pPr>
      <w:r>
        <w:rPr>
          <w:rFonts w:hint="eastAsia" w:ascii="黑体" w:hAnsi="黑体" w:eastAsia="黑体"/>
          <w:color w:val="000000" w:themeColor="text1"/>
          <w:sz w:val="32"/>
          <w:szCs w:val="32"/>
        </w:rPr>
        <w:t>二、发展目标</w:t>
      </w:r>
    </w:p>
    <w:p>
      <w:pPr>
        <w:pStyle w:val="10"/>
        <w:spacing w:line="58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2020年,建成适应创新型柳州建设需求的现代公民科学素质组织实施、基础设施、条件保障、监测评估等体系，公民科学素质建设的公共服务能力显著增强，公民具备基本科学素质的比例超过7.16%。</w:t>
      </w:r>
    </w:p>
    <w:p>
      <w:pPr>
        <w:pStyle w:val="10"/>
        <w:spacing w:line="58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——创新创业在全社会蔚然成风。厚植敢为人先、崇尚创造、追求卓越的文化基础，进一步推动依靠创新驱动，实现更高质量、更有效率、更加公平、更可持续的发展。  </w:t>
      </w:r>
    </w:p>
    <w:p>
      <w:pPr>
        <w:pStyle w:val="10"/>
        <w:spacing w:line="58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主题性科普活动广泛开展。围绕柳州高质量发展需求,更加关注保障和改善民生，大力宣传普及绿色发展、安全健康、信息技术等知识和观念，促进健康文明的生活方式形成，满足全面建成小康社会的总要求。</w:t>
      </w:r>
    </w:p>
    <w:p>
      <w:pPr>
        <w:pStyle w:val="10"/>
        <w:spacing w:line="58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重点人群科学素质跨越提升。青少年对科学的兴趣以及创新能力明显提高，领导干部和公务员科学决策的意识和水平不断增强，农民、城镇劳动者的科学生产和科学生活能力快速提升，农村、贫困地区和少数民族聚居地区公民的科学素质显著提升。</w:t>
      </w:r>
    </w:p>
    <w:p>
      <w:pPr>
        <w:pStyle w:val="10"/>
        <w:spacing w:line="58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——公民科学素质建设服务能力大幅提升。科技教育与培训体系基本完善，社区科普益民服务机制逐步建立，科普基础设施的服务能力不断增强，公民提高科学素质的机会与途径显著增多。</w:t>
      </w:r>
    </w:p>
    <w:p>
      <w:pPr>
        <w:pStyle w:val="10"/>
        <w:spacing w:line="580" w:lineRule="exact"/>
        <w:ind w:firstLine="640" w:firstLineChars="200"/>
        <w:jc w:val="both"/>
        <w:rPr>
          <w:rFonts w:ascii="黑体" w:hAnsi="黑体" w:eastAsia="黑体"/>
          <w:color w:val="000000" w:themeColor="text1"/>
          <w:sz w:val="32"/>
          <w:szCs w:val="32"/>
        </w:rPr>
      </w:pPr>
      <w:r>
        <w:rPr>
          <w:rFonts w:hint="eastAsia" w:ascii="黑体" w:hAnsi="黑体" w:eastAsia="黑体"/>
          <w:color w:val="000000" w:themeColor="text1"/>
          <w:sz w:val="32"/>
          <w:szCs w:val="32"/>
        </w:rPr>
        <w:t>三、主要任务</w:t>
      </w:r>
    </w:p>
    <w:p>
      <w:pPr>
        <w:pStyle w:val="10"/>
        <w:spacing w:line="580" w:lineRule="exact"/>
        <w:ind w:firstLine="643" w:firstLineChars="200"/>
        <w:jc w:val="both"/>
        <w:rPr>
          <w:rFonts w:ascii="楷体_GB2312" w:eastAsia="楷体_GB2312"/>
          <w:b/>
          <w:color w:val="000000" w:themeColor="text1"/>
          <w:sz w:val="32"/>
          <w:szCs w:val="32"/>
        </w:rPr>
      </w:pPr>
      <w:r>
        <w:rPr>
          <w:rFonts w:hint="eastAsia" w:ascii="楷体_GB2312" w:eastAsia="楷体_GB2312"/>
          <w:b/>
          <w:color w:val="000000" w:themeColor="text1"/>
          <w:sz w:val="32"/>
          <w:szCs w:val="32"/>
        </w:rPr>
        <w:t>（一）实施“八桂科普大行动”辐射拓展工程</w:t>
      </w:r>
    </w:p>
    <w:p>
      <w:pPr>
        <w:pStyle w:val="10"/>
        <w:spacing w:line="580" w:lineRule="exact"/>
        <w:ind w:firstLine="643" w:firstLineChars="200"/>
        <w:jc w:val="both"/>
        <w:rPr>
          <w:rFonts w:ascii="仿宋_GB2312" w:hAnsi="仿宋" w:eastAsia="仿宋_GB2312"/>
          <w:color w:val="000000" w:themeColor="text1"/>
          <w:sz w:val="32"/>
          <w:szCs w:val="32"/>
        </w:rPr>
      </w:pPr>
      <w:r>
        <w:rPr>
          <w:rFonts w:hint="eastAsia" w:ascii="仿宋_GB2312" w:eastAsia="仿宋_GB2312"/>
          <w:b/>
          <w:bCs/>
          <w:color w:val="000000" w:themeColor="text1"/>
          <w:sz w:val="32"/>
          <w:szCs w:val="32"/>
        </w:rPr>
        <w:t>1.举办“全国科技活动周·柳州活动”。</w:t>
      </w:r>
      <w:r>
        <w:rPr>
          <w:rFonts w:hint="eastAsia" w:ascii="仿宋_GB2312" w:eastAsia="仿宋_GB2312"/>
          <w:color w:val="000000" w:themeColor="text1"/>
          <w:sz w:val="32"/>
          <w:szCs w:val="32"/>
        </w:rPr>
        <w:t>5月中下旬举办</w:t>
      </w:r>
      <w:r>
        <w:rPr>
          <w:rFonts w:hint="eastAsia" w:ascii="仿宋_GB2312" w:hAnsi="仿宋" w:eastAsia="仿宋_GB2312"/>
          <w:color w:val="000000" w:themeColor="text1"/>
          <w:spacing w:val="8"/>
          <w:sz w:val="32"/>
          <w:szCs w:val="32"/>
          <w:shd w:val="clear" w:color="auto" w:fill="FFFFFF"/>
        </w:rPr>
        <w:t>“全国科技活动周·柳州活动”，使科技创新成果和科普活动真正惠及公众，让公众更多地参与到科技活动中。以此为带动，组织开展一批贯穿全年的具有当地特色的群众性科技活动，</w:t>
      </w:r>
      <w:r>
        <w:rPr>
          <w:rFonts w:hint="eastAsia" w:ascii="仿宋_GB2312" w:hAnsi="仿宋" w:eastAsia="仿宋_GB2312"/>
          <w:color w:val="000000" w:themeColor="text1"/>
          <w:sz w:val="32"/>
          <w:szCs w:val="32"/>
        </w:rPr>
        <w:t>进一步激发公众热爱科学、参与创新发展的热情。</w:t>
      </w:r>
    </w:p>
    <w:p>
      <w:pPr>
        <w:pStyle w:val="10"/>
        <w:spacing w:line="580" w:lineRule="exact"/>
        <w:ind w:firstLine="643" w:firstLineChars="200"/>
        <w:jc w:val="both"/>
        <w:rPr>
          <w:rFonts w:ascii="仿宋" w:hAnsi="仿宋" w:eastAsia="仿宋"/>
          <w:color w:val="000000" w:themeColor="text1"/>
          <w:sz w:val="32"/>
          <w:szCs w:val="32"/>
        </w:rPr>
      </w:pPr>
      <w:r>
        <w:rPr>
          <w:rFonts w:hint="eastAsia" w:ascii="仿宋_GB2312" w:eastAsia="仿宋_GB2312"/>
          <w:b/>
          <w:bCs/>
          <w:color w:val="000000" w:themeColor="text1"/>
          <w:sz w:val="32"/>
          <w:szCs w:val="32"/>
        </w:rPr>
        <w:t>2.创新举办“八桂科普大行动·柳州活动”。</w:t>
      </w:r>
      <w:r>
        <w:rPr>
          <w:rFonts w:hint="eastAsia" w:ascii="仿宋_GB2312" w:hAnsi="仿宋" w:eastAsia="仿宋_GB2312" w:cs="宋体"/>
          <w:color w:val="000000" w:themeColor="text1"/>
          <w:sz w:val="32"/>
          <w:szCs w:val="32"/>
        </w:rPr>
        <w:t>5-9月举办“八桂科普大行动</w:t>
      </w:r>
      <w:r>
        <w:rPr>
          <w:rFonts w:hint="eastAsia" w:ascii="仿宋_GB2312" w:hAnsi="微软雅黑" w:eastAsia="微软雅黑" w:cs="宋体"/>
          <w:color w:val="000000" w:themeColor="text1"/>
          <w:sz w:val="32"/>
          <w:szCs w:val="32"/>
        </w:rPr>
        <w:t>•</w:t>
      </w:r>
      <w:r>
        <w:rPr>
          <w:rFonts w:hint="eastAsia" w:ascii="仿宋_GB2312" w:hAnsi="仿宋" w:eastAsia="仿宋_GB2312" w:cs="宋体"/>
          <w:color w:val="000000" w:themeColor="text1"/>
          <w:sz w:val="32"/>
          <w:szCs w:val="32"/>
        </w:rPr>
        <w:t>柳州活动”，全市各级科协组织、全市全民科学素质工作领导小组各成员单位、各县区全民科学素质工作领导小组各成员单位，要进一步整合资源，形成合力，积极动员科技工作者、科普志愿者深入农村、社区、企业、学校开展科普宣传活动。要根据不同对象的实际需求，精心组织特色各异、形式新颖的科普活动，突出增强活动的针对性和有效性。</w:t>
      </w:r>
      <w:r>
        <w:rPr>
          <w:rFonts w:hint="eastAsia" w:ascii="仿宋_GB2312" w:eastAsia="仿宋_GB2312"/>
          <w:color w:val="000000" w:themeColor="text1"/>
          <w:sz w:val="32"/>
          <w:szCs w:val="32"/>
        </w:rPr>
        <w:t>组织开展各类主题科普活动200项以上，参与人数60万人次以上。</w:t>
      </w:r>
    </w:p>
    <w:p>
      <w:pPr>
        <w:pStyle w:val="10"/>
        <w:spacing w:line="580" w:lineRule="exact"/>
        <w:ind w:firstLine="643" w:firstLineChars="200"/>
        <w:jc w:val="both"/>
        <w:rPr>
          <w:rFonts w:ascii="仿宋_GB2312" w:eastAsia="仿宋_GB2312"/>
          <w:color w:val="000000" w:themeColor="text1"/>
          <w:sz w:val="32"/>
          <w:szCs w:val="32"/>
        </w:rPr>
      </w:pPr>
      <w:r>
        <w:rPr>
          <w:rFonts w:hint="eastAsia" w:ascii="仿宋_GB2312" w:eastAsia="仿宋_GB2312"/>
          <w:b/>
          <w:bCs/>
          <w:color w:val="000000" w:themeColor="text1"/>
          <w:sz w:val="32"/>
          <w:szCs w:val="32"/>
        </w:rPr>
        <w:t>3.深化集中开展“五大联合行动”。</w:t>
      </w:r>
      <w:r>
        <w:rPr>
          <w:rFonts w:hint="eastAsia" w:ascii="仿宋_GB2312" w:eastAsia="仿宋_GB2312"/>
          <w:color w:val="000000" w:themeColor="text1"/>
          <w:sz w:val="32"/>
          <w:szCs w:val="32"/>
        </w:rPr>
        <w:t>一是开展基层科普联合行动，围绕脱贫攻坚，坚持分类施策、因人因地施策方针，组织科技专家和农村专业技术协会、科普示范社区、科普示范基地、科普中国e站、基层科普带头人，开展科技讲座、技术培训等科普活动；二是开展科普基地联合行动，各科普基地以及相关学会和科研院所积极推出与主题相关的科普展览或科普宣传活动；三是开展校园科普联合行动，加强与教育等部门的联合，积极动员优秀科技工作者开展走进校园系列科普活动；四是开展科技馆特色科普联合行动，市科技馆、各县区科技馆、校园科技馆和科普大篷车围绕科普日主题开展具有科技馆体系特色的科普活动；五是开展专家科学传播行动，组织专家聚焦热点科技和公众身边问题，开展线上线下等多种方式的科普报告会、演讲团巡讲等活动。</w:t>
      </w:r>
    </w:p>
    <w:p>
      <w:pPr>
        <w:pStyle w:val="10"/>
        <w:spacing w:line="580" w:lineRule="exact"/>
        <w:ind w:firstLine="643" w:firstLineChars="200"/>
        <w:jc w:val="both"/>
        <w:rPr>
          <w:rFonts w:ascii="仿宋_GB2312" w:eastAsia="仿宋_GB2312"/>
          <w:b/>
          <w:color w:val="000000" w:themeColor="text1"/>
          <w:spacing w:val="2"/>
          <w:sz w:val="32"/>
          <w:szCs w:val="32"/>
        </w:rPr>
      </w:pPr>
      <w:r>
        <w:rPr>
          <w:rFonts w:hint="eastAsia" w:ascii="楷体_GB2312" w:eastAsia="楷体_GB2312"/>
          <w:b/>
          <w:color w:val="000000" w:themeColor="text1"/>
          <w:sz w:val="32"/>
          <w:szCs w:val="32"/>
        </w:rPr>
        <w:t>（二）实施少年强科普教育工程</w:t>
      </w:r>
    </w:p>
    <w:p>
      <w:pPr>
        <w:pStyle w:val="10"/>
        <w:spacing w:line="580" w:lineRule="exact"/>
        <w:ind w:firstLine="651" w:firstLineChars="200"/>
        <w:jc w:val="both"/>
        <w:rPr>
          <w:rFonts w:ascii="仿宋_GB2312" w:eastAsia="仿宋_GB2312"/>
          <w:color w:val="000000" w:themeColor="text1"/>
          <w:spacing w:val="2"/>
          <w:sz w:val="32"/>
          <w:szCs w:val="32"/>
        </w:rPr>
      </w:pPr>
      <w:r>
        <w:rPr>
          <w:rFonts w:hint="eastAsia" w:ascii="仿宋_GB2312" w:eastAsia="仿宋_GB2312"/>
          <w:b/>
          <w:bCs/>
          <w:color w:val="000000" w:themeColor="text1"/>
          <w:spacing w:val="2"/>
          <w:sz w:val="32"/>
          <w:szCs w:val="32"/>
        </w:rPr>
        <w:t>1.努力提高校内青少年科学教育质量。</w:t>
      </w:r>
      <w:r>
        <w:rPr>
          <w:rFonts w:hint="eastAsia" w:ascii="仿宋_GB2312" w:eastAsia="仿宋_GB2312"/>
          <w:color w:val="000000" w:themeColor="text1"/>
          <w:spacing w:val="2"/>
          <w:sz w:val="32"/>
          <w:szCs w:val="32"/>
        </w:rPr>
        <w:t>在幼儿园保教工作中融入科学启蒙教育内容。加强义务教育阶段的科学教育，着力提高数学、物理、化学、生物等科学类课程的教学质量，构建符合素质教育要求的课程体系和评价体系,提升学生科学素养和实践动手能力。在高中阶段，鼓励支持学校开设通用技术课、科学教育选修课，积极开展研究性学习与科学实践、社区服务与社会实践活动，提高学生的探究能力。</w:t>
      </w:r>
    </w:p>
    <w:p>
      <w:pPr>
        <w:pStyle w:val="10"/>
        <w:spacing w:line="580" w:lineRule="exact"/>
        <w:ind w:firstLine="651" w:firstLineChars="200"/>
        <w:jc w:val="both"/>
        <w:rPr>
          <w:rFonts w:ascii="仿宋_GB2312" w:eastAsia="仿宋_GB2312"/>
          <w:color w:val="000000" w:themeColor="text1"/>
          <w:spacing w:val="2"/>
          <w:sz w:val="32"/>
          <w:szCs w:val="32"/>
        </w:rPr>
      </w:pPr>
      <w:r>
        <w:rPr>
          <w:rFonts w:hint="eastAsia" w:ascii="仿宋_GB2312" w:eastAsia="仿宋_GB2312"/>
          <w:b/>
          <w:bCs/>
          <w:color w:val="000000" w:themeColor="text1"/>
          <w:spacing w:val="2"/>
          <w:sz w:val="32"/>
          <w:szCs w:val="32"/>
        </w:rPr>
        <w:t>2.广泛开展校外、课外科学教育活动。</w:t>
      </w:r>
      <w:r>
        <w:rPr>
          <w:rFonts w:hint="eastAsia" w:ascii="仿宋_GB2312" w:eastAsia="仿宋_GB2312"/>
          <w:color w:val="000000" w:themeColor="text1"/>
          <w:spacing w:val="2"/>
          <w:sz w:val="32"/>
          <w:szCs w:val="32"/>
        </w:rPr>
        <w:t>持续开展柳州市青少年科技创新市长奖评选表彰活动，</w:t>
      </w:r>
      <w:r>
        <w:rPr>
          <w:rFonts w:hint="eastAsia" w:ascii="仿宋_GB2312" w:hAnsi="仿宋_GB2312" w:eastAsia="仿宋_GB2312" w:cs="仿宋_GB2312"/>
          <w:color w:val="000000" w:themeColor="text1"/>
          <w:sz w:val="32"/>
          <w:szCs w:val="32"/>
          <w:lang w:val="zh-CN"/>
        </w:rPr>
        <w:t>组织参加广西青少年科技创新自治区主席奖评选表彰活动，</w:t>
      </w:r>
      <w:r>
        <w:rPr>
          <w:rFonts w:hint="eastAsia" w:ascii="仿宋_GB2312" w:eastAsia="仿宋_GB2312"/>
          <w:color w:val="000000" w:themeColor="text1"/>
          <w:spacing w:val="2"/>
          <w:sz w:val="32"/>
          <w:szCs w:val="32"/>
        </w:rPr>
        <w:t>营造全社会关心支持青少年科技教育工作的良好氛围。广泛组织开展青少年科技节、快乐科普校园行、红领巾科技小社团等青少年科普品牌活动，激发青少年学习科普热情。实施青少年科技实践能力提升计划，办好青少年科技创新大赛、</w:t>
      </w:r>
      <w:r>
        <w:rPr>
          <w:rFonts w:hint="eastAsia" w:ascii="仿宋_GB2312" w:hAnsi="仿宋_GB2312" w:eastAsia="仿宋_GB2312" w:cs="仿宋_GB2312"/>
          <w:color w:val="000000" w:themeColor="text1"/>
          <w:sz w:val="32"/>
          <w:szCs w:val="32"/>
          <w:lang w:val="zh-CN"/>
        </w:rPr>
        <w:t>科学素质竞赛等</w:t>
      </w:r>
      <w:r>
        <w:rPr>
          <w:rFonts w:hint="eastAsia" w:ascii="仿宋_GB2312" w:eastAsia="仿宋_GB2312"/>
          <w:color w:val="000000" w:themeColor="text1"/>
          <w:spacing w:val="2"/>
          <w:sz w:val="32"/>
          <w:szCs w:val="32"/>
        </w:rPr>
        <w:t>科技竞赛活动，开展青少年走进科普教育基地、科技体验日等科普实践活动，为青少年搭建学习实践和沟通交流的平台。</w:t>
      </w:r>
    </w:p>
    <w:p>
      <w:pPr>
        <w:pStyle w:val="10"/>
        <w:spacing w:line="580" w:lineRule="exact"/>
        <w:ind w:firstLine="651" w:firstLineChars="200"/>
        <w:jc w:val="both"/>
        <w:rPr>
          <w:rFonts w:ascii="仿宋_GB2312" w:eastAsia="仿宋_GB2312"/>
          <w:color w:val="000000" w:themeColor="text1"/>
          <w:spacing w:val="2"/>
          <w:sz w:val="32"/>
          <w:szCs w:val="32"/>
        </w:rPr>
      </w:pPr>
      <w:r>
        <w:rPr>
          <w:rFonts w:hint="eastAsia" w:ascii="仿宋_GB2312" w:eastAsia="仿宋_GB2312"/>
          <w:b/>
          <w:bCs/>
          <w:color w:val="000000" w:themeColor="text1"/>
          <w:spacing w:val="2"/>
          <w:sz w:val="32"/>
          <w:szCs w:val="32"/>
        </w:rPr>
        <w:t>3.以品牌活动为引领，充分整合社会科普资源。</w:t>
      </w:r>
      <w:r>
        <w:rPr>
          <w:rFonts w:hint="eastAsia" w:ascii="仿宋_GB2312" w:eastAsia="仿宋_GB2312"/>
          <w:color w:val="000000" w:themeColor="text1"/>
          <w:spacing w:val="2"/>
          <w:sz w:val="32"/>
          <w:szCs w:val="32"/>
        </w:rPr>
        <w:t>深入开展科技馆进校园、科普大篷车进校园等活动,充分发挥科技馆、青少年宫、博物馆、妇女儿童活动中心等各类科技场馆及科普教育基地等资源作用,开展科技学习和实践活动，搭建青少年科技创新活动平台。通过组织科技专家进校园、</w:t>
      </w:r>
      <w:r>
        <w:rPr>
          <w:rFonts w:hint="eastAsia" w:ascii="仿宋_GB2312" w:eastAsia="仿宋_GB2312"/>
          <w:spacing w:val="2"/>
          <w:sz w:val="32"/>
          <w:szCs w:val="32"/>
        </w:rPr>
        <w:t>组织高中学生参加高校科学营等活动,全面提升青少年科学素质</w:t>
      </w:r>
      <w:r>
        <w:rPr>
          <w:rFonts w:hint="eastAsia" w:ascii="仿宋_GB2312" w:eastAsia="仿宋_GB2312"/>
          <w:color w:val="000000" w:themeColor="text1"/>
          <w:spacing w:val="2"/>
          <w:sz w:val="32"/>
          <w:szCs w:val="32"/>
        </w:rPr>
        <w:t>,为我市创新驱动发展培养坚实的后备力量。</w:t>
      </w:r>
    </w:p>
    <w:p>
      <w:pPr>
        <w:pStyle w:val="10"/>
        <w:spacing w:line="580" w:lineRule="exact"/>
        <w:ind w:firstLine="643" w:firstLineChars="200"/>
        <w:jc w:val="both"/>
        <w:rPr>
          <w:rFonts w:ascii="仿宋_GB2312" w:eastAsia="仿宋_GB2312"/>
          <w:color w:val="000000" w:themeColor="text1"/>
          <w:sz w:val="32"/>
          <w:szCs w:val="32"/>
        </w:rPr>
      </w:pPr>
      <w:r>
        <w:rPr>
          <w:rFonts w:hint="eastAsia" w:ascii="仿宋_GB2312" w:eastAsia="仿宋_GB2312"/>
          <w:b/>
          <w:bCs/>
          <w:color w:val="000000" w:themeColor="text1"/>
          <w:sz w:val="32"/>
          <w:szCs w:val="32"/>
        </w:rPr>
        <w:t>4.指导开展好家庭科普教育工作。</w:t>
      </w:r>
      <w:r>
        <w:rPr>
          <w:rFonts w:hint="eastAsia" w:ascii="仿宋_GB2312" w:eastAsia="仿宋_GB2312"/>
          <w:color w:val="000000" w:themeColor="text1"/>
          <w:sz w:val="32"/>
          <w:szCs w:val="32"/>
        </w:rPr>
        <w:t>丰富家庭教育内容，提升家庭教育科学化水平，形成家校共育的良好局面。</w:t>
      </w:r>
      <w:r>
        <w:rPr>
          <w:rFonts w:hint="eastAsia" w:ascii="仿宋_GB2312" w:eastAsia="仿宋_GB2312"/>
          <w:color w:val="000000" w:themeColor="text1"/>
          <w:spacing w:val="2"/>
          <w:sz w:val="32"/>
          <w:szCs w:val="32"/>
        </w:rPr>
        <w:t>推进基础教育均衡发展,切实提高农村中小学科学教育质量，</w:t>
      </w:r>
      <w:r>
        <w:rPr>
          <w:rFonts w:hint="eastAsia" w:ascii="仿宋_GB2312" w:eastAsia="仿宋_GB2312"/>
          <w:color w:val="000000" w:themeColor="text1"/>
          <w:sz w:val="32"/>
          <w:szCs w:val="32"/>
        </w:rPr>
        <w:t>加大农村学校科技辅导员培训力度，举办中小学教师科学营，重点面向农村留守儿童开展科技辅导、心理疏导、安全健康等方面的志愿服务。</w:t>
      </w:r>
    </w:p>
    <w:p>
      <w:pPr>
        <w:pStyle w:val="10"/>
        <w:spacing w:line="580" w:lineRule="exact"/>
        <w:ind w:firstLine="643" w:firstLineChars="200"/>
        <w:jc w:val="both"/>
        <w:rPr>
          <w:rFonts w:ascii="楷体_GB2312" w:eastAsia="楷体_GB2312"/>
          <w:b/>
          <w:color w:val="000000" w:themeColor="text1"/>
          <w:sz w:val="32"/>
          <w:szCs w:val="32"/>
        </w:rPr>
      </w:pPr>
      <w:r>
        <w:rPr>
          <w:rFonts w:hint="eastAsia" w:ascii="楷体_GB2312" w:eastAsia="楷体_GB2312"/>
          <w:b/>
          <w:color w:val="000000" w:themeColor="text1"/>
          <w:sz w:val="32"/>
          <w:szCs w:val="32"/>
        </w:rPr>
        <w:t>（三）实施乡村振兴农民科学素质提升工程</w:t>
      </w:r>
    </w:p>
    <w:p>
      <w:pPr>
        <w:pStyle w:val="10"/>
        <w:spacing w:line="580" w:lineRule="exact"/>
        <w:ind w:firstLine="643" w:firstLineChars="200"/>
        <w:jc w:val="both"/>
        <w:rPr>
          <w:rFonts w:ascii="仿宋_GB2312" w:eastAsia="仿宋_GB2312"/>
          <w:color w:val="000000" w:themeColor="text1"/>
          <w:sz w:val="32"/>
          <w:szCs w:val="32"/>
        </w:rPr>
      </w:pPr>
      <w:r>
        <w:rPr>
          <w:rFonts w:hint="eastAsia" w:ascii="仿宋_GB2312" w:eastAsia="仿宋_GB2312"/>
          <w:b/>
          <w:bCs/>
          <w:color w:val="000000" w:themeColor="text1"/>
          <w:sz w:val="32"/>
          <w:szCs w:val="32"/>
        </w:rPr>
        <w:t>1.大力开展农业科技教育培训。</w:t>
      </w:r>
      <w:r>
        <w:rPr>
          <w:rFonts w:hint="eastAsia" w:ascii="仿宋_GB2312" w:eastAsia="仿宋_GB2312"/>
          <w:color w:val="000000" w:themeColor="text1"/>
          <w:sz w:val="32"/>
          <w:szCs w:val="32"/>
        </w:rPr>
        <w:t>开展科普精准扶贫，推动科普资源向农村贫困地区聚集，引导广大科技工作者下沉基层，持续开展“科技专家进村、科技扶贫入户”活动。充分利用党员干部现代远程教育网络、基层综合性文化服务中心等培训阵地</w:t>
      </w:r>
      <w:r>
        <w:rPr>
          <w:rFonts w:hint="eastAsia" w:ascii="仿宋_GB2312" w:eastAsia="仿宋_GB2312"/>
          <w:sz w:val="32"/>
          <w:szCs w:val="32"/>
        </w:rPr>
        <w:t>，着力培养各类新型农民和农村实用人才。深入实施农村青年</w:t>
      </w:r>
      <w:r>
        <w:rPr>
          <w:rFonts w:hint="eastAsia" w:ascii="仿宋_GB2312" w:eastAsia="仿宋_GB2312"/>
          <w:color w:val="000000" w:themeColor="text1"/>
          <w:sz w:val="32"/>
          <w:szCs w:val="32"/>
        </w:rPr>
        <w:t>创业致富“领头雁”培养计划，大力开展巾帼致富工程，加强农村贫困地区和重点人群科普工作，全年培训农民不低</w:t>
      </w:r>
      <w:r>
        <w:rPr>
          <w:rFonts w:hint="eastAsia" w:ascii="仿宋_GB2312" w:eastAsia="仿宋_GB2312"/>
          <w:sz w:val="32"/>
          <w:szCs w:val="32"/>
        </w:rPr>
        <w:t>于1.3万</w:t>
      </w:r>
      <w:r>
        <w:rPr>
          <w:rFonts w:hint="eastAsia" w:ascii="仿宋_GB2312" w:eastAsia="仿宋_GB2312"/>
          <w:color w:val="000000" w:themeColor="text1"/>
          <w:sz w:val="32"/>
          <w:szCs w:val="32"/>
        </w:rPr>
        <w:t>人次。</w:t>
      </w:r>
    </w:p>
    <w:p>
      <w:pPr>
        <w:pStyle w:val="10"/>
        <w:spacing w:line="580" w:lineRule="exact"/>
        <w:ind w:firstLine="643" w:firstLineChars="200"/>
        <w:jc w:val="both"/>
        <w:rPr>
          <w:rFonts w:ascii="仿宋_GB2312" w:eastAsia="仿宋_GB2312"/>
          <w:color w:val="000000" w:themeColor="text1"/>
          <w:sz w:val="32"/>
          <w:szCs w:val="32"/>
        </w:rPr>
      </w:pPr>
      <w:r>
        <w:rPr>
          <w:rFonts w:hint="eastAsia" w:ascii="仿宋_GB2312" w:eastAsia="仿宋_GB2312"/>
          <w:b/>
          <w:bCs/>
          <w:color w:val="000000" w:themeColor="text1"/>
          <w:sz w:val="32"/>
          <w:szCs w:val="32"/>
        </w:rPr>
        <w:t>2.广泛开展形式多样的农村科普活动。</w:t>
      </w:r>
      <w:r>
        <w:rPr>
          <w:rFonts w:hint="eastAsia" w:ascii="仿宋_GB2312" w:eastAsia="仿宋_GB2312"/>
          <w:color w:val="000000" w:themeColor="text1"/>
          <w:sz w:val="32"/>
          <w:szCs w:val="32"/>
        </w:rPr>
        <w:t>组织开展科技下乡活</w:t>
      </w:r>
    </w:p>
    <w:p>
      <w:pPr>
        <w:pStyle w:val="10"/>
        <w:spacing w:line="580" w:lineRule="exact"/>
        <w:jc w:val="both"/>
        <w:rPr>
          <w:rFonts w:ascii="仿宋_GB2312" w:eastAsia="仿宋_GB2312"/>
          <w:color w:val="000000" w:themeColor="text1"/>
          <w:sz w:val="32"/>
          <w:szCs w:val="32"/>
        </w:rPr>
      </w:pPr>
      <w:r>
        <w:rPr>
          <w:rFonts w:hint="eastAsia" w:ascii="仿宋_GB2312" w:eastAsia="仿宋_GB2312"/>
          <w:color w:val="000000" w:themeColor="text1"/>
          <w:sz w:val="32"/>
          <w:szCs w:val="32"/>
        </w:rPr>
        <w:t>动。坚持公平普惠、重心下移，通过文化科技卫生“三下乡”、科技周、科普日、科普惠农成果交流活动等各类科普活动影响，切实发挥农村各类实用人才作用。进一步发挥新时代文明实践中心（所、站）、基层党群活动中心和村（社区）综合性文化服务中心等阵地作用，大力普及绿色发展、安全健康、耕地保护、防灾减灾等科技知识和观念，推进移风易俗，破除封建迷信和伪科学的消极影响，树立文明乡风，提高农民健康科学素质水平,全年活动受众人数不低于50万人次。</w:t>
      </w:r>
    </w:p>
    <w:p>
      <w:pPr>
        <w:pStyle w:val="10"/>
        <w:spacing w:line="580" w:lineRule="exact"/>
        <w:ind w:firstLine="643" w:firstLineChars="200"/>
        <w:jc w:val="both"/>
        <w:rPr>
          <w:rFonts w:ascii="仿宋_GB2312" w:eastAsia="仿宋_GB2312"/>
          <w:color w:val="000000" w:themeColor="text1"/>
          <w:sz w:val="32"/>
          <w:szCs w:val="32"/>
        </w:rPr>
      </w:pPr>
      <w:r>
        <w:rPr>
          <w:rFonts w:hint="eastAsia" w:ascii="仿宋_GB2312" w:eastAsia="仿宋_GB2312"/>
          <w:b/>
          <w:bCs/>
          <w:color w:val="000000" w:themeColor="text1"/>
          <w:sz w:val="32"/>
          <w:szCs w:val="32"/>
        </w:rPr>
        <w:t>3.加强农村科普公共服务能力建设。</w:t>
      </w:r>
      <w:r>
        <w:rPr>
          <w:rFonts w:hint="eastAsia" w:ascii="仿宋_GB2312" w:eastAsia="仿宋_GB2312"/>
          <w:color w:val="000000" w:themeColor="text1"/>
          <w:sz w:val="32"/>
          <w:szCs w:val="32"/>
        </w:rPr>
        <w:t>建立完善以农技推广机构为主导、农村专业技术协会等社会组织为重要力量的新型农村科技社会化服务体系,不断增强服务能力。深入实施“基层科普行动计划”“科普惠农兴村计划”，加强科技小院、基层农技协、科普示范村等建设，大力推进农村科普信息化建设，搭建、完善农民科学素质提升信息平台，发挥全国农业科教云平台、科普中国服务云平台、中国环保科普资源网、中国兴农网、农村社区公共服务综合信息平台、大众科普平台、桂风起平台、农村科技网络书屋等作用。</w:t>
      </w:r>
    </w:p>
    <w:p>
      <w:pPr>
        <w:pStyle w:val="10"/>
        <w:spacing w:line="580" w:lineRule="exact"/>
        <w:ind w:firstLine="643" w:firstLineChars="200"/>
        <w:jc w:val="both"/>
        <w:rPr>
          <w:rFonts w:ascii="楷体_GB2312" w:eastAsia="楷体_GB2312"/>
          <w:b/>
          <w:color w:val="000000" w:themeColor="text1"/>
          <w:sz w:val="32"/>
          <w:szCs w:val="32"/>
        </w:rPr>
      </w:pPr>
      <w:r>
        <w:rPr>
          <w:rFonts w:hint="eastAsia" w:ascii="楷体_GB2312" w:eastAsia="楷体_GB2312"/>
          <w:b/>
          <w:color w:val="000000" w:themeColor="text1"/>
          <w:sz w:val="32"/>
          <w:szCs w:val="32"/>
        </w:rPr>
        <w:t>（四）实施城镇劳动者劳动技能与科学素质培训工程</w:t>
      </w:r>
    </w:p>
    <w:p>
      <w:pPr>
        <w:pStyle w:val="10"/>
        <w:spacing w:line="580" w:lineRule="exact"/>
        <w:ind w:firstLine="643" w:firstLineChars="200"/>
        <w:jc w:val="both"/>
        <w:rPr>
          <w:rFonts w:ascii="仿宋_GB2312" w:eastAsia="仿宋_GB2312"/>
          <w:color w:val="000000" w:themeColor="text1"/>
          <w:sz w:val="32"/>
          <w:szCs w:val="32"/>
        </w:rPr>
      </w:pPr>
      <w:r>
        <w:rPr>
          <w:rFonts w:hint="eastAsia" w:ascii="仿宋_GB2312" w:eastAsia="仿宋_GB2312"/>
          <w:b/>
          <w:bCs/>
          <w:color w:val="000000" w:themeColor="text1"/>
          <w:sz w:val="32"/>
          <w:szCs w:val="32"/>
        </w:rPr>
        <w:t>1.实施城镇劳动者职业技能培训计划。</w:t>
      </w:r>
      <w:r>
        <w:rPr>
          <w:rFonts w:hint="eastAsia" w:ascii="仿宋_GB2312" w:eastAsia="仿宋_GB2312"/>
          <w:color w:val="000000" w:themeColor="text1"/>
          <w:sz w:val="32"/>
          <w:szCs w:val="32"/>
        </w:rPr>
        <w:t>构建以企业为主体、各类培训机构积极参与、公办与民办共举的职业培训和技能人才培养体系。面向城镇全体劳动者，积极开展订单式和定岗、定向等多种形式的就业技能培训、岗位技能提升培训、安全生产培训和创业培训，基本消除劳动者无技能从业现象，提高城镇劳动者安全生产意识，避免由于培训不到位而导致的安全事故。深入实施全民技能振兴工程，年度开展劳动技能培训3万人次以上。</w:t>
      </w:r>
    </w:p>
    <w:p>
      <w:pPr>
        <w:pStyle w:val="10"/>
        <w:spacing w:line="580" w:lineRule="exact"/>
        <w:ind w:firstLine="643" w:firstLineChars="200"/>
        <w:jc w:val="both"/>
        <w:rPr>
          <w:rFonts w:ascii="仿宋_GB2312" w:eastAsia="仿宋_GB2312"/>
          <w:color w:val="000000" w:themeColor="text1"/>
          <w:sz w:val="32"/>
          <w:szCs w:val="32"/>
        </w:rPr>
      </w:pPr>
      <w:r>
        <w:rPr>
          <w:rFonts w:hint="eastAsia" w:ascii="仿宋_GB2312" w:eastAsia="仿宋_GB2312"/>
          <w:b/>
          <w:bCs/>
          <w:color w:val="000000" w:themeColor="text1"/>
          <w:sz w:val="32"/>
          <w:szCs w:val="32"/>
        </w:rPr>
        <w:t>2.提高进城务工人员稳定就业和科学生活能力。</w:t>
      </w:r>
      <w:r>
        <w:rPr>
          <w:rFonts w:hint="eastAsia" w:ascii="仿宋_GB2312" w:eastAsia="仿宋_GB2312"/>
          <w:color w:val="000000" w:themeColor="text1"/>
          <w:sz w:val="32"/>
          <w:szCs w:val="32"/>
        </w:rPr>
        <w:t>建立进城务工人员和用工单位、劳务输出组织共同开展职业培训的机制，组织开展进城务工人员专题培训，将绿色发展、安全生产、健康生活、心理疏导、防灾减灾等作为培训的主要内容，增强其就业、工作、职业转换能力以及参与社会生活和维护自身权益的能力。</w:t>
      </w:r>
    </w:p>
    <w:p>
      <w:pPr>
        <w:pStyle w:val="10"/>
        <w:spacing w:line="580" w:lineRule="exact"/>
        <w:ind w:firstLine="643" w:firstLineChars="200"/>
        <w:jc w:val="both"/>
        <w:rPr>
          <w:rFonts w:ascii="仿宋_GB2312" w:eastAsia="仿宋_GB2312"/>
          <w:color w:val="000000" w:themeColor="text1"/>
          <w:sz w:val="32"/>
          <w:szCs w:val="32"/>
        </w:rPr>
      </w:pPr>
      <w:r>
        <w:rPr>
          <w:rFonts w:hint="eastAsia" w:ascii="仿宋_GB2312" w:eastAsia="仿宋_GB2312"/>
          <w:b/>
          <w:bCs/>
          <w:color w:val="000000" w:themeColor="text1"/>
          <w:sz w:val="32"/>
          <w:szCs w:val="32"/>
        </w:rPr>
        <w:t>3.大力营造崇尚创新创造的社会氛围。</w:t>
      </w:r>
      <w:r>
        <w:rPr>
          <w:rFonts w:hint="eastAsia" w:ascii="仿宋_GB2312" w:eastAsia="仿宋_GB2312"/>
          <w:color w:val="000000" w:themeColor="text1"/>
          <w:sz w:val="32"/>
          <w:szCs w:val="32"/>
        </w:rPr>
        <w:t>全面推进职工素质建设，深入开展职工大献策、大练兵、大竞赛活动，开展青年岗位能手、巾帼建功和职业技能竞赛，激发职工创新创造活力，开展“城市科普行”“科普大讲堂”等科普进社区活动，引导社区居民养成健康、安全的生活方式，形成人人崇尚创新、人人渴望创新、人人皆可创新的社会氛围。</w:t>
      </w:r>
    </w:p>
    <w:p>
      <w:pPr>
        <w:pStyle w:val="10"/>
        <w:spacing w:line="580" w:lineRule="exact"/>
        <w:ind w:firstLine="643" w:firstLineChars="200"/>
        <w:jc w:val="both"/>
        <w:rPr>
          <w:rFonts w:ascii="楷体_GB2312" w:eastAsia="楷体_GB2312"/>
          <w:b/>
          <w:color w:val="000000" w:themeColor="text1"/>
          <w:sz w:val="32"/>
          <w:szCs w:val="32"/>
        </w:rPr>
      </w:pPr>
      <w:r>
        <w:rPr>
          <w:rFonts w:hint="eastAsia" w:ascii="楷体_GB2312" w:eastAsia="楷体_GB2312"/>
          <w:b/>
          <w:color w:val="000000" w:themeColor="text1"/>
          <w:sz w:val="32"/>
          <w:szCs w:val="32"/>
        </w:rPr>
        <w:t>（五）实施公务人员科学素质表率工程</w:t>
      </w:r>
    </w:p>
    <w:p>
      <w:pPr>
        <w:pStyle w:val="10"/>
        <w:spacing w:line="580" w:lineRule="exact"/>
        <w:ind w:firstLine="643" w:firstLineChars="200"/>
        <w:jc w:val="both"/>
        <w:rPr>
          <w:rFonts w:ascii="仿宋_GB2312" w:eastAsia="仿宋_GB2312"/>
          <w:color w:val="000000" w:themeColor="text1"/>
          <w:sz w:val="32"/>
          <w:szCs w:val="32"/>
        </w:rPr>
      </w:pPr>
      <w:r>
        <w:rPr>
          <w:rFonts w:hint="eastAsia" w:ascii="仿宋_GB2312" w:eastAsia="仿宋_GB2312"/>
          <w:b/>
          <w:bCs/>
          <w:color w:val="000000" w:themeColor="text1"/>
          <w:sz w:val="32"/>
          <w:szCs w:val="32"/>
        </w:rPr>
        <w:t>1.强化统筹规划。</w:t>
      </w:r>
      <w:r>
        <w:rPr>
          <w:rFonts w:hint="eastAsia" w:ascii="仿宋_GB2312" w:eastAsia="仿宋_GB2312"/>
          <w:color w:val="000000" w:themeColor="text1"/>
          <w:sz w:val="32"/>
          <w:szCs w:val="32"/>
        </w:rPr>
        <w:t>健全领导干部和公务员科学素质教育机制，把科学素质教育作为领导干部和公务员教育培训的长期任务，分层次制定相关年度计划和实施意见，将科学素质教育列入各级各类干部教育培训机构的教育规划和教学计划，落实课题课时，组织相关专题研究，加强干部科学方法、科学思想和科学精神培育。</w:t>
      </w:r>
    </w:p>
    <w:p>
      <w:pPr>
        <w:pStyle w:val="10"/>
        <w:spacing w:line="580" w:lineRule="exact"/>
        <w:ind w:firstLine="643" w:firstLineChars="200"/>
        <w:jc w:val="both"/>
        <w:rPr>
          <w:rFonts w:ascii="仿宋_GB2312" w:eastAsia="仿宋_GB2312"/>
          <w:color w:val="000000" w:themeColor="text1"/>
          <w:sz w:val="32"/>
          <w:szCs w:val="32"/>
        </w:rPr>
      </w:pPr>
      <w:r>
        <w:rPr>
          <w:rFonts w:hint="eastAsia" w:ascii="仿宋_GB2312" w:eastAsia="仿宋_GB2312"/>
          <w:b/>
          <w:bCs/>
          <w:sz w:val="32"/>
          <w:szCs w:val="32"/>
        </w:rPr>
        <w:t>2.开展科普进机关、进党校活动。</w:t>
      </w:r>
      <w:r>
        <w:rPr>
          <w:rFonts w:hint="eastAsia" w:ascii="仿宋_GB2312" w:eastAsia="仿宋_GB2312"/>
          <w:color w:val="000000" w:themeColor="text1"/>
          <w:sz w:val="32"/>
          <w:szCs w:val="32"/>
        </w:rPr>
        <w:t>将提高科学素质列为创建学习型机关、干部培训教育的重要内容，注重对党政领导干部、公务人员、企事业单位负责人等突出科学素质方面的目标要求，引导激励其学习科技知识、提升科学素质。利用现代信息技术手段开展领导干部和公务员科学素质教育培训，扩大优质科普信息覆盖面，满足领导干部和公务员多样化学习需要。</w:t>
      </w:r>
    </w:p>
    <w:p>
      <w:pPr>
        <w:pStyle w:val="10"/>
        <w:spacing w:line="580" w:lineRule="exact"/>
        <w:ind w:firstLine="643" w:firstLineChars="200"/>
        <w:jc w:val="both"/>
        <w:rPr>
          <w:rFonts w:ascii="仿宋_GB2312" w:eastAsia="仿宋_GB2312"/>
          <w:color w:val="000000" w:themeColor="text1"/>
          <w:sz w:val="32"/>
          <w:szCs w:val="32"/>
        </w:rPr>
      </w:pPr>
      <w:r>
        <w:rPr>
          <w:rFonts w:hint="eastAsia" w:ascii="仿宋_GB2312" w:eastAsia="仿宋_GB2312"/>
          <w:b/>
          <w:bCs/>
          <w:color w:val="000000" w:themeColor="text1"/>
          <w:sz w:val="32"/>
          <w:szCs w:val="32"/>
        </w:rPr>
        <w:t>3.推广应用行动学习。</w:t>
      </w:r>
      <w:r>
        <w:rPr>
          <w:rFonts w:hint="eastAsia" w:ascii="仿宋_GB2312" w:eastAsia="仿宋_GB2312"/>
          <w:color w:val="000000" w:themeColor="text1"/>
          <w:sz w:val="32"/>
          <w:szCs w:val="32"/>
        </w:rPr>
        <w:t>以提升领导干部和公务员谋划推动经济社会发展的专业化能力为目标，采取专题研修、网络培训、举办科技报告会、现代科技知识讲座，积极开展科技知识培训,努力提高领导干部和公务员队伍科学素质。充分发挥现场教学基地的作用，组织领导干部到科普场馆、产业升级等前沿开展现场教学活动，使领导干部成为推进创新驱动发展的行家里手和带头人。</w:t>
      </w:r>
    </w:p>
    <w:p>
      <w:pPr>
        <w:pStyle w:val="10"/>
        <w:spacing w:line="580" w:lineRule="exact"/>
        <w:ind w:firstLine="643" w:firstLineChars="200"/>
        <w:jc w:val="both"/>
        <w:rPr>
          <w:rFonts w:ascii="楷体_GB2312" w:eastAsia="楷体_GB2312"/>
          <w:b/>
          <w:color w:val="000000" w:themeColor="text1"/>
          <w:sz w:val="32"/>
          <w:szCs w:val="32"/>
        </w:rPr>
      </w:pPr>
      <w:r>
        <w:rPr>
          <w:rFonts w:hint="eastAsia" w:ascii="楷体_GB2312" w:eastAsia="楷体_GB2312"/>
          <w:b/>
          <w:color w:val="000000" w:themeColor="text1"/>
          <w:sz w:val="32"/>
          <w:szCs w:val="32"/>
        </w:rPr>
        <w:t>（六）实施科普基础设施建设工程</w:t>
      </w:r>
    </w:p>
    <w:p>
      <w:pPr>
        <w:pStyle w:val="10"/>
        <w:spacing w:line="580" w:lineRule="exact"/>
        <w:ind w:firstLine="643" w:firstLineChars="200"/>
        <w:jc w:val="both"/>
        <w:rPr>
          <w:rFonts w:ascii="仿宋_GB2312" w:eastAsia="仿宋_GB2312"/>
          <w:sz w:val="32"/>
          <w:szCs w:val="32"/>
        </w:rPr>
      </w:pPr>
      <w:r>
        <w:rPr>
          <w:rFonts w:hint="eastAsia" w:ascii="仿宋_GB2312" w:eastAsia="仿宋_GB2312"/>
          <w:b/>
          <w:bCs/>
          <w:color w:val="000000" w:themeColor="text1"/>
          <w:sz w:val="32"/>
          <w:szCs w:val="32"/>
        </w:rPr>
        <w:t>1.推进现代科技场馆建设及开馆运营。</w:t>
      </w:r>
      <w:r>
        <w:rPr>
          <w:rFonts w:hint="eastAsia" w:ascii="仿宋_GB2312" w:eastAsia="仿宋_GB2312"/>
          <w:color w:val="000000" w:themeColor="text1"/>
          <w:sz w:val="32"/>
          <w:szCs w:val="32"/>
        </w:rPr>
        <w:t>建立完善柳州特色现代科技馆体系，加强政策支持和引导，加快市级科技馆建设步伐，将其建设成为具备科技视野、彰显创新气质、富有柳州特色的科技文明新地标，大力推进县域科技馆和校园科技馆建设，2</w:t>
      </w:r>
      <w:r>
        <w:rPr>
          <w:rFonts w:hint="eastAsia" w:ascii="仿宋_GB2312" w:eastAsia="仿宋_GB2312"/>
          <w:sz w:val="32"/>
          <w:szCs w:val="32"/>
        </w:rPr>
        <w:t>020年新建2座乡村校园科技馆。</w:t>
      </w:r>
    </w:p>
    <w:p>
      <w:pPr>
        <w:pStyle w:val="10"/>
        <w:spacing w:line="580" w:lineRule="exact"/>
        <w:ind w:firstLine="643" w:firstLineChars="200"/>
        <w:jc w:val="both"/>
        <w:rPr>
          <w:rFonts w:ascii="仿宋_GB2312" w:eastAsia="仿宋_GB2312"/>
          <w:color w:val="000000" w:themeColor="text1"/>
          <w:sz w:val="32"/>
          <w:szCs w:val="32"/>
        </w:rPr>
      </w:pPr>
      <w:r>
        <w:rPr>
          <w:rFonts w:hint="eastAsia" w:ascii="仿宋_GB2312" w:eastAsia="仿宋_GB2312"/>
          <w:b/>
          <w:bCs/>
          <w:color w:val="000000" w:themeColor="text1"/>
          <w:sz w:val="32"/>
          <w:szCs w:val="32"/>
        </w:rPr>
        <w:t>2.加强科普教育基地建设。</w:t>
      </w:r>
      <w:r>
        <w:rPr>
          <w:rFonts w:hint="eastAsia" w:ascii="仿宋_GB2312" w:eastAsia="仿宋_GB2312"/>
          <w:color w:val="000000" w:themeColor="text1"/>
          <w:sz w:val="32"/>
          <w:szCs w:val="32"/>
        </w:rPr>
        <w:t xml:space="preserve">推进建立行业类、教育类、科研类科普教育基地，发挥科普教育基地联盟作用，进一步完善开放、协同、普惠社会化科普工作机制。强化青少年宫、妇女儿童活动中心、主题公园、自然保护区、森林公园、地质公园、动植物园、旅游景区、气象台站、地震台站等公共设施拓展科普教育功能。 </w:t>
      </w:r>
    </w:p>
    <w:p>
      <w:pPr>
        <w:pStyle w:val="10"/>
        <w:spacing w:line="580" w:lineRule="exact"/>
        <w:ind w:firstLine="643" w:firstLineChars="200"/>
        <w:jc w:val="both"/>
        <w:rPr>
          <w:rFonts w:ascii="仿宋_GB2312" w:eastAsia="仿宋_GB2312"/>
          <w:color w:val="000000" w:themeColor="text1"/>
          <w:sz w:val="32"/>
          <w:szCs w:val="32"/>
        </w:rPr>
      </w:pPr>
      <w:r>
        <w:rPr>
          <w:rFonts w:hint="eastAsia" w:ascii="仿宋_GB2312" w:eastAsia="仿宋_GB2312"/>
          <w:b/>
          <w:bCs/>
          <w:color w:val="000000" w:themeColor="text1"/>
          <w:sz w:val="32"/>
          <w:szCs w:val="32"/>
        </w:rPr>
        <w:t>3.实施优质科普资源共享计划。</w:t>
      </w:r>
      <w:r>
        <w:rPr>
          <w:rFonts w:hint="eastAsia" w:ascii="仿宋_GB2312" w:eastAsia="仿宋_GB2312"/>
          <w:color w:val="000000" w:themeColor="text1"/>
          <w:sz w:val="32"/>
          <w:szCs w:val="32"/>
        </w:rPr>
        <w:t>加强科技场馆、科普基地、博物馆、图书馆、文化馆等公众服务功能，广泛开展科普资源和技术辐射服务，提升公众服务的科技含量。加强科普场馆运行的规范管理，整体提升科普场馆的展教水平和服务能力，推动科普场馆专业人才培养工作,提高科普场馆展览和教育活动的设计策划能力。</w:t>
      </w:r>
    </w:p>
    <w:p>
      <w:pPr>
        <w:pStyle w:val="10"/>
        <w:spacing w:line="580" w:lineRule="exact"/>
        <w:ind w:firstLine="643" w:firstLineChars="200"/>
        <w:jc w:val="both"/>
        <w:rPr>
          <w:rFonts w:ascii="仿宋_GB2312" w:eastAsia="仿宋_GB2312"/>
          <w:color w:val="000000" w:themeColor="text1"/>
          <w:sz w:val="32"/>
          <w:szCs w:val="32"/>
        </w:rPr>
      </w:pPr>
      <w:r>
        <w:rPr>
          <w:rFonts w:hint="eastAsia" w:ascii="仿宋_GB2312" w:eastAsia="仿宋_GB2312"/>
          <w:b/>
          <w:bCs/>
          <w:color w:val="000000" w:themeColor="text1"/>
          <w:sz w:val="32"/>
          <w:szCs w:val="32"/>
        </w:rPr>
        <w:t>4.实施基层科普基础设施建设行动。</w:t>
      </w:r>
      <w:r>
        <w:rPr>
          <w:rFonts w:hint="eastAsia" w:ascii="仿宋_GB2312" w:eastAsia="仿宋_GB2312"/>
          <w:color w:val="000000" w:themeColor="text1"/>
          <w:sz w:val="32"/>
          <w:szCs w:val="32"/>
        </w:rPr>
        <w:t>在充分利用和整合现有资源的基础上，加大街道（乡镇）、社区（行政村）的“科普活动站（室）”“科普画廊（宣传栏）”等科普设施的建设力度，进一步发挥数字科普信息屏等新型基层科普设施作用。进一步引导、支持鼓励有条件的中小学利用现有的教育培训场所建立青少年科学工作室。</w:t>
      </w:r>
    </w:p>
    <w:p>
      <w:pPr>
        <w:pStyle w:val="10"/>
        <w:spacing w:line="580" w:lineRule="exact"/>
        <w:ind w:firstLine="643" w:firstLineChars="200"/>
        <w:jc w:val="both"/>
        <w:rPr>
          <w:rFonts w:ascii="楷体_GB2312" w:eastAsia="楷体_GB2312"/>
          <w:b/>
          <w:color w:val="000000" w:themeColor="text1"/>
          <w:sz w:val="32"/>
          <w:szCs w:val="32"/>
        </w:rPr>
      </w:pPr>
      <w:r>
        <w:rPr>
          <w:rFonts w:hint="eastAsia" w:ascii="楷体_GB2312" w:eastAsia="楷体_GB2312"/>
          <w:b/>
          <w:color w:val="000000" w:themeColor="text1"/>
          <w:sz w:val="32"/>
          <w:szCs w:val="32"/>
        </w:rPr>
        <w:t>（七）实施科普信息化建设工程</w:t>
      </w:r>
    </w:p>
    <w:p>
      <w:pPr>
        <w:pStyle w:val="10"/>
        <w:spacing w:line="580" w:lineRule="exact"/>
        <w:ind w:firstLine="643" w:firstLineChars="200"/>
        <w:jc w:val="both"/>
        <w:rPr>
          <w:rFonts w:ascii="仿宋_GB2312" w:eastAsia="仿宋_GB2312"/>
          <w:color w:val="000000" w:themeColor="text1"/>
          <w:sz w:val="32"/>
          <w:szCs w:val="32"/>
        </w:rPr>
      </w:pPr>
      <w:r>
        <w:rPr>
          <w:rFonts w:hint="eastAsia" w:ascii="仿宋_GB2312" w:eastAsia="仿宋_GB2312"/>
          <w:b/>
          <w:bCs/>
          <w:color w:val="000000" w:themeColor="text1"/>
          <w:sz w:val="32"/>
          <w:szCs w:val="32"/>
        </w:rPr>
        <w:t>1.实施“互联网+科普”建设提升工程。</w:t>
      </w:r>
      <w:r>
        <w:rPr>
          <w:rFonts w:hint="eastAsia" w:ascii="仿宋_GB2312" w:eastAsia="仿宋_GB2312"/>
          <w:color w:val="000000" w:themeColor="text1"/>
          <w:sz w:val="32"/>
          <w:szCs w:val="32"/>
        </w:rPr>
        <w:t>强化互联网思维,坚持需求导向,推进传统科普与互联网深度融合, 持续打造“柳州微科普”、“科普地图”等科普新媒体品牌，结合新建柳州科技馆及公共文化、旅游等方面工作开展，加快“科普地图”宣传推广应用，扩大科普信息的受众面,把柳州特色科普资源转化为数字科普产品，</w:t>
      </w:r>
      <w:r>
        <w:rPr>
          <w:rFonts w:ascii="仿宋_GB2312" w:eastAsia="仿宋_GB2312"/>
          <w:color w:val="000000" w:themeColor="text1"/>
          <w:sz w:val="32"/>
          <w:szCs w:val="32"/>
        </w:rPr>
        <w:t>建成科普网站、微信、移动客户端、数字科普终端等科普活动在线平台。</w:t>
      </w:r>
    </w:p>
    <w:p>
      <w:pPr>
        <w:pStyle w:val="10"/>
        <w:spacing w:line="580" w:lineRule="exact"/>
        <w:ind w:firstLine="643" w:firstLineChars="200"/>
        <w:jc w:val="both"/>
        <w:rPr>
          <w:rFonts w:ascii="仿宋_GB2312" w:eastAsia="仿宋_GB2312"/>
          <w:color w:val="000000" w:themeColor="text1"/>
          <w:sz w:val="32"/>
          <w:szCs w:val="32"/>
        </w:rPr>
      </w:pPr>
      <w:r>
        <w:rPr>
          <w:rFonts w:ascii="仿宋_GB2312" w:eastAsia="仿宋_GB2312"/>
          <w:b/>
          <w:bCs/>
          <w:color w:val="000000" w:themeColor="text1"/>
          <w:sz w:val="32"/>
          <w:szCs w:val="32"/>
        </w:rPr>
        <w:t>2.推动原创性科普融合创作。</w:t>
      </w:r>
      <w:r>
        <w:rPr>
          <w:rFonts w:ascii="仿宋_GB2312" w:eastAsia="仿宋_GB2312"/>
          <w:color w:val="000000" w:themeColor="text1"/>
          <w:sz w:val="32"/>
          <w:szCs w:val="32"/>
        </w:rPr>
        <w:t>围绕公众关切的社会焦点、热点问题，大力开展科普文章、科普剧、科普视频、科普微电影、科普动漫等形式多样的科普作品创作。</w:t>
      </w:r>
      <w:r>
        <w:rPr>
          <w:rFonts w:hint="eastAsia" w:ascii="仿宋_GB2312" w:eastAsia="仿宋_GB2312"/>
          <w:color w:val="000000" w:themeColor="text1"/>
          <w:sz w:val="32"/>
          <w:szCs w:val="32"/>
        </w:rPr>
        <w:t>探索</w:t>
      </w:r>
      <w:r>
        <w:rPr>
          <w:rFonts w:ascii="仿宋_GB2312" w:eastAsia="仿宋_GB2312"/>
          <w:color w:val="000000" w:themeColor="text1"/>
          <w:sz w:val="32"/>
          <w:szCs w:val="32"/>
        </w:rPr>
        <w:t>完善科普融合创作的社会动员激励机制</w:t>
      </w:r>
      <w:r>
        <w:rPr>
          <w:rFonts w:hint="eastAsia" w:ascii="仿宋_GB2312" w:eastAsia="仿宋_GB2312"/>
          <w:color w:val="000000" w:themeColor="text1"/>
          <w:sz w:val="32"/>
          <w:szCs w:val="32"/>
        </w:rPr>
        <w:t>，</w:t>
      </w:r>
      <w:r>
        <w:rPr>
          <w:rFonts w:ascii="仿宋_GB2312" w:eastAsia="仿宋_GB2312"/>
          <w:color w:val="000000" w:themeColor="text1"/>
          <w:sz w:val="32"/>
          <w:szCs w:val="32"/>
        </w:rPr>
        <w:t>加大对优秀原创科普作品的扶持力度</w:t>
      </w:r>
      <w:r>
        <w:rPr>
          <w:rFonts w:hint="eastAsia" w:ascii="仿宋_GB2312" w:eastAsia="仿宋_GB2312"/>
          <w:color w:val="000000" w:themeColor="text1"/>
          <w:sz w:val="32"/>
          <w:szCs w:val="32"/>
        </w:rPr>
        <w:t>，</w:t>
      </w:r>
      <w:r>
        <w:rPr>
          <w:rFonts w:ascii="仿宋_GB2312" w:eastAsia="仿宋_GB2312"/>
          <w:color w:val="000000" w:themeColor="text1"/>
          <w:sz w:val="32"/>
          <w:szCs w:val="32"/>
        </w:rPr>
        <w:t>鼓励社会各界参与科普作品创作。</w:t>
      </w:r>
    </w:p>
    <w:p>
      <w:pPr>
        <w:pStyle w:val="10"/>
        <w:spacing w:line="580" w:lineRule="exact"/>
        <w:ind w:firstLine="643" w:firstLineChars="200"/>
        <w:jc w:val="both"/>
        <w:rPr>
          <w:rFonts w:ascii="楷体_GB2312" w:eastAsia="楷体_GB2312"/>
          <w:color w:val="000000" w:themeColor="text1"/>
          <w:sz w:val="32"/>
          <w:szCs w:val="32"/>
        </w:rPr>
      </w:pPr>
      <w:r>
        <w:rPr>
          <w:rFonts w:ascii="仿宋_GB2312" w:eastAsia="仿宋_GB2312"/>
          <w:b/>
          <w:bCs/>
          <w:color w:val="000000" w:themeColor="text1"/>
          <w:sz w:val="32"/>
          <w:szCs w:val="32"/>
        </w:rPr>
        <w:t>3.融合拓宽科普传播渠道。</w:t>
      </w:r>
      <w:r>
        <w:rPr>
          <w:rFonts w:ascii="仿宋_GB2312" w:eastAsia="仿宋_GB2312"/>
          <w:color w:val="000000" w:themeColor="text1"/>
          <w:sz w:val="32"/>
          <w:szCs w:val="32"/>
        </w:rPr>
        <w:t>创新科普传播形式</w:t>
      </w:r>
      <w:r>
        <w:rPr>
          <w:rFonts w:hint="eastAsia" w:ascii="仿宋_GB2312" w:eastAsia="仿宋_GB2312"/>
          <w:color w:val="000000" w:themeColor="text1"/>
          <w:sz w:val="32"/>
          <w:szCs w:val="32"/>
        </w:rPr>
        <w:t>，</w:t>
      </w:r>
      <w:r>
        <w:rPr>
          <w:rFonts w:ascii="仿宋_GB2312" w:eastAsia="仿宋_GB2312"/>
          <w:color w:val="000000" w:themeColor="text1"/>
          <w:sz w:val="32"/>
          <w:szCs w:val="32"/>
        </w:rPr>
        <w:t>推动电视、广播、报刊等传统媒体与新兴媒体在科普内容、渠道、平台、经营和管理等方面深度融合,着力打造一批手段先进、具有传播公信力的</w:t>
      </w:r>
      <w:r>
        <w:rPr>
          <w:rFonts w:hint="eastAsia" w:ascii="仿宋_GB2312" w:eastAsia="仿宋_GB2312"/>
          <w:sz w:val="32"/>
          <w:szCs w:val="32"/>
        </w:rPr>
        <w:t>科普宣传精品力作</w:t>
      </w:r>
      <w:r>
        <w:rPr>
          <w:rFonts w:ascii="仿宋_GB2312" w:eastAsia="仿宋_GB2312"/>
          <w:color w:val="000000" w:themeColor="text1"/>
          <w:sz w:val="32"/>
          <w:szCs w:val="32"/>
        </w:rPr>
        <w:t>。充分利用广播电视、公交系统、社交媒体、</w:t>
      </w:r>
      <w:r>
        <w:rPr>
          <w:rFonts w:hint="eastAsia" w:ascii="仿宋_GB2312" w:eastAsia="仿宋_GB2312"/>
          <w:color w:val="000000" w:themeColor="text1"/>
          <w:sz w:val="32"/>
          <w:szCs w:val="32"/>
        </w:rPr>
        <w:t>科普e站</w:t>
      </w:r>
      <w:r>
        <w:rPr>
          <w:rFonts w:ascii="仿宋_GB2312" w:eastAsia="仿宋_GB2312"/>
          <w:color w:val="000000" w:themeColor="text1"/>
          <w:sz w:val="32"/>
          <w:szCs w:val="32"/>
        </w:rPr>
        <w:t>等</w:t>
      </w:r>
      <w:r>
        <w:rPr>
          <w:rFonts w:hint="eastAsia" w:ascii="仿宋_GB2312" w:eastAsia="仿宋_GB2312"/>
          <w:color w:val="000000" w:themeColor="text1"/>
          <w:sz w:val="32"/>
          <w:szCs w:val="32"/>
        </w:rPr>
        <w:t>多媒体终端传播科学知识。</w:t>
      </w:r>
      <w:r>
        <w:rPr>
          <w:rFonts w:ascii="楷体_GB2312" w:eastAsia="楷体_GB2312"/>
          <w:color w:val="000000" w:themeColor="text1"/>
          <w:sz w:val="32"/>
          <w:szCs w:val="32"/>
        </w:rPr>
        <w:t xml:space="preserve"> </w:t>
      </w:r>
    </w:p>
    <w:p>
      <w:pPr>
        <w:pStyle w:val="10"/>
        <w:spacing w:line="580" w:lineRule="exact"/>
        <w:ind w:firstLine="643" w:firstLineChars="200"/>
        <w:jc w:val="both"/>
        <w:rPr>
          <w:rFonts w:ascii="楷体_GB2312" w:eastAsia="楷体_GB2312"/>
          <w:color w:val="000000" w:themeColor="text1"/>
          <w:sz w:val="32"/>
          <w:szCs w:val="32"/>
        </w:rPr>
      </w:pPr>
      <w:r>
        <w:rPr>
          <w:rFonts w:ascii="仿宋_GB2312" w:eastAsia="仿宋_GB2312"/>
          <w:b/>
          <w:bCs/>
          <w:color w:val="000000" w:themeColor="text1"/>
          <w:sz w:val="32"/>
          <w:szCs w:val="32"/>
        </w:rPr>
        <w:t>4.</w:t>
      </w:r>
      <w:r>
        <w:rPr>
          <w:rFonts w:hint="eastAsia" w:ascii="仿宋_GB2312" w:eastAsia="仿宋_GB2312"/>
          <w:b/>
          <w:bCs/>
          <w:color w:val="000000" w:themeColor="text1"/>
          <w:sz w:val="32"/>
          <w:szCs w:val="32"/>
        </w:rPr>
        <w:t>加强科普信息员建设。</w:t>
      </w:r>
      <w:r>
        <w:rPr>
          <w:rFonts w:hint="eastAsia" w:ascii="仿宋_GB2312" w:eastAsia="仿宋_GB2312"/>
          <w:color w:val="000000" w:themeColor="text1"/>
          <w:sz w:val="32"/>
          <w:szCs w:val="32"/>
        </w:rPr>
        <w:t>广泛组织动员科技工作者、科普e站管理员、社区居民、农村致富带头人等加入科普信息员队伍。加大基层科普信息员培训力度，提高科普信息员政治素养和服务能力水平，充分发挥科普信息员“群主”作用，借助多元的媒体平台向城乡居民推送优质的科普内容。</w:t>
      </w:r>
    </w:p>
    <w:p>
      <w:pPr>
        <w:pStyle w:val="10"/>
        <w:spacing w:line="580" w:lineRule="exact"/>
        <w:ind w:firstLine="643" w:firstLineChars="200"/>
        <w:jc w:val="both"/>
        <w:rPr>
          <w:rFonts w:ascii="楷体_GB2312" w:eastAsia="楷体_GB2312"/>
          <w:b/>
          <w:color w:val="000000" w:themeColor="text1"/>
          <w:sz w:val="32"/>
          <w:szCs w:val="32"/>
        </w:rPr>
      </w:pPr>
      <w:r>
        <w:rPr>
          <w:rFonts w:hint="eastAsia" w:ascii="楷体_GB2312" w:eastAsia="楷体_GB2312"/>
          <w:b/>
          <w:color w:val="000000" w:themeColor="text1"/>
          <w:sz w:val="32"/>
          <w:szCs w:val="32"/>
        </w:rPr>
        <w:t>（八）实施科普人才培养工程</w:t>
      </w:r>
    </w:p>
    <w:p>
      <w:pPr>
        <w:pStyle w:val="10"/>
        <w:spacing w:line="580" w:lineRule="exact"/>
        <w:ind w:firstLine="643" w:firstLineChars="200"/>
        <w:jc w:val="both"/>
        <w:rPr>
          <w:rFonts w:ascii="仿宋_GB2312" w:eastAsia="仿宋_GB2312"/>
          <w:color w:val="000000" w:themeColor="text1"/>
          <w:sz w:val="32"/>
          <w:szCs w:val="32"/>
        </w:rPr>
      </w:pPr>
      <w:r>
        <w:rPr>
          <w:rFonts w:hint="eastAsia" w:ascii="仿宋_GB2312" w:eastAsia="仿宋_GB2312"/>
          <w:b/>
          <w:bCs/>
          <w:color w:val="000000" w:themeColor="text1"/>
          <w:sz w:val="32"/>
          <w:szCs w:val="32"/>
        </w:rPr>
        <w:t>1.</w:t>
      </w:r>
      <w:r>
        <w:rPr>
          <w:rFonts w:ascii="仿宋_GB2312" w:eastAsia="仿宋_GB2312"/>
          <w:b/>
          <w:bCs/>
          <w:color w:val="000000" w:themeColor="text1"/>
          <w:sz w:val="32"/>
          <w:szCs w:val="32"/>
        </w:rPr>
        <w:t xml:space="preserve"> 大力培养基层科普人才。</w:t>
      </w:r>
      <w:r>
        <w:rPr>
          <w:rFonts w:hint="eastAsia" w:ascii="仿宋_GB2312" w:eastAsia="仿宋_GB2312"/>
          <w:color w:val="000000" w:themeColor="text1"/>
          <w:sz w:val="32"/>
          <w:szCs w:val="32"/>
        </w:rPr>
        <w:t>以科普人才培养体系建设为着力点，不断推进新时代科普人才队伍建设。进一步发挥好“三长”等“关键人物”进入县乡镇科协领导机构的积极作用，全面提升基层科协科普能力。</w:t>
      </w:r>
      <w:r>
        <w:rPr>
          <w:rFonts w:ascii="仿宋_GB2312" w:eastAsia="仿宋_GB2312"/>
          <w:color w:val="000000" w:themeColor="text1"/>
          <w:sz w:val="32"/>
          <w:szCs w:val="32"/>
        </w:rPr>
        <w:t>依托基层各类组织</w:t>
      </w:r>
      <w:r>
        <w:rPr>
          <w:rFonts w:hint="eastAsia" w:ascii="仿宋_GB2312" w:eastAsia="仿宋_GB2312"/>
          <w:color w:val="000000" w:themeColor="text1"/>
          <w:sz w:val="32"/>
          <w:szCs w:val="32"/>
        </w:rPr>
        <w:t>，</w:t>
      </w:r>
      <w:r>
        <w:rPr>
          <w:rFonts w:ascii="仿宋_GB2312" w:eastAsia="仿宋_GB2312"/>
          <w:color w:val="000000" w:themeColor="text1"/>
          <w:sz w:val="32"/>
          <w:szCs w:val="32"/>
        </w:rPr>
        <w:t>动员大学生村官、农村致富带头人、气象信息员和科普志愿者等担任科普宣传员，实现乡村社区科普宣传员全覆盖。</w:t>
      </w:r>
    </w:p>
    <w:p>
      <w:pPr>
        <w:pStyle w:val="10"/>
        <w:spacing w:line="580" w:lineRule="exact"/>
        <w:ind w:firstLine="643" w:firstLineChars="200"/>
        <w:jc w:val="both"/>
        <w:rPr>
          <w:rFonts w:ascii="仿宋_GB2312" w:eastAsia="仿宋_GB2312"/>
          <w:color w:val="000000" w:themeColor="text1"/>
          <w:sz w:val="32"/>
          <w:szCs w:val="32"/>
        </w:rPr>
      </w:pPr>
      <w:r>
        <w:rPr>
          <w:rFonts w:hint="eastAsia" w:ascii="仿宋_GB2312" w:eastAsia="仿宋_GB2312"/>
          <w:b/>
          <w:bCs/>
          <w:color w:val="000000" w:themeColor="text1"/>
          <w:sz w:val="32"/>
          <w:szCs w:val="32"/>
        </w:rPr>
        <w:t>2.</w:t>
      </w:r>
      <w:r>
        <w:rPr>
          <w:rFonts w:ascii="仿宋_GB2312" w:eastAsia="仿宋_GB2312"/>
          <w:b/>
          <w:bCs/>
          <w:color w:val="000000" w:themeColor="text1"/>
          <w:sz w:val="32"/>
          <w:szCs w:val="32"/>
        </w:rPr>
        <w:t>加快培养科普专门人才。</w:t>
      </w:r>
      <w:r>
        <w:rPr>
          <w:rFonts w:hint="eastAsia" w:ascii="仿宋_GB2312" w:eastAsia="仿宋_GB2312"/>
          <w:color w:val="000000" w:themeColor="text1"/>
          <w:sz w:val="32"/>
          <w:szCs w:val="32"/>
        </w:rPr>
        <w:t>实施中小学科技专业教师队伍建设计划，加强中小学校、科普场馆、少年宫等专职青少年科技辅导员队伍建设，配齐补齐科技专业教师队伍；强化科技专业教师的培养培训，进一步提高教师科学素质。</w:t>
      </w:r>
    </w:p>
    <w:p>
      <w:pPr>
        <w:pStyle w:val="10"/>
        <w:spacing w:line="580" w:lineRule="exact"/>
        <w:ind w:firstLine="320" w:firstLineChars="100"/>
        <w:jc w:val="both"/>
        <w:rPr>
          <w:rFonts w:ascii="仿宋_GB2312" w:eastAsia="仿宋_GB2312"/>
          <w:color w:val="000000" w:themeColor="text1"/>
          <w:sz w:val="32"/>
          <w:szCs w:val="32"/>
        </w:rPr>
      </w:pPr>
      <w:r>
        <w:rPr>
          <w:rFonts w:ascii="仿宋_GB2312" w:eastAsia="仿宋_GB2312"/>
          <w:color w:val="000000" w:themeColor="text1"/>
          <w:sz w:val="32"/>
          <w:szCs w:val="32"/>
        </w:rPr>
        <w:t>　</w:t>
      </w:r>
      <w:r>
        <w:rPr>
          <w:rFonts w:hint="eastAsia" w:ascii="仿宋_GB2312" w:eastAsia="仿宋_GB2312"/>
          <w:b/>
          <w:bCs/>
          <w:color w:val="000000" w:themeColor="text1"/>
          <w:sz w:val="32"/>
          <w:szCs w:val="32"/>
        </w:rPr>
        <w:t>3.加强科普志愿者队伍建设。</w:t>
      </w:r>
      <w:r>
        <w:rPr>
          <w:rFonts w:ascii="仿宋_GB2312" w:eastAsia="仿宋_GB2312"/>
          <w:color w:val="000000" w:themeColor="text1"/>
          <w:sz w:val="32"/>
          <w:szCs w:val="32"/>
        </w:rPr>
        <w:t>进一步壮大科普志愿者队伍，建立完善科普志愿者组织管理制度</w:t>
      </w:r>
      <w:r>
        <w:rPr>
          <w:rFonts w:hint="eastAsia" w:ascii="仿宋_GB2312" w:eastAsia="仿宋_GB2312"/>
          <w:color w:val="000000" w:themeColor="text1"/>
          <w:sz w:val="32"/>
          <w:szCs w:val="32"/>
        </w:rPr>
        <w:t>，</w:t>
      </w:r>
      <w:r>
        <w:rPr>
          <w:rFonts w:ascii="仿宋_GB2312" w:eastAsia="仿宋_GB2312"/>
          <w:color w:val="000000" w:themeColor="text1"/>
          <w:sz w:val="32"/>
          <w:szCs w:val="32"/>
        </w:rPr>
        <w:t>搭建科普志愿活动服务平台,开展科普志愿者交流、培训、经验推广等工作。</w:t>
      </w:r>
      <w:r>
        <w:rPr>
          <w:rFonts w:hint="eastAsia" w:ascii="仿宋_GB2312" w:eastAsia="仿宋_GB2312"/>
          <w:color w:val="000000" w:themeColor="text1"/>
          <w:sz w:val="32"/>
          <w:szCs w:val="32"/>
        </w:rPr>
        <w:t>鼓励</w:t>
      </w:r>
      <w:r>
        <w:rPr>
          <w:rFonts w:ascii="仿宋_GB2312" w:eastAsia="仿宋_GB2312"/>
          <w:color w:val="000000" w:themeColor="text1"/>
          <w:sz w:val="32"/>
          <w:szCs w:val="32"/>
        </w:rPr>
        <w:t>老科技工作者、</w:t>
      </w:r>
      <w:r>
        <w:rPr>
          <w:rFonts w:hint="eastAsia" w:ascii="仿宋_GB2312" w:eastAsia="仿宋_GB2312"/>
          <w:color w:val="000000" w:themeColor="text1"/>
          <w:sz w:val="32"/>
          <w:szCs w:val="32"/>
        </w:rPr>
        <w:t>高校师生、传媒从业者参与科普志愿服务，发展应急科普志愿者队伍，动员组织科技特派员、农村致富带头人、气象信息员等担任科普员。</w:t>
      </w:r>
    </w:p>
    <w:p>
      <w:pPr>
        <w:pStyle w:val="10"/>
        <w:spacing w:line="580" w:lineRule="exact"/>
        <w:ind w:firstLine="640" w:firstLineChars="200"/>
        <w:jc w:val="both"/>
        <w:rPr>
          <w:rFonts w:ascii="黑体" w:hAnsi="黑体" w:eastAsia="黑体"/>
          <w:color w:val="000000" w:themeColor="text1"/>
          <w:sz w:val="32"/>
          <w:szCs w:val="32"/>
        </w:rPr>
      </w:pPr>
      <w:r>
        <w:rPr>
          <w:rFonts w:hint="eastAsia" w:ascii="黑体" w:hAnsi="黑体" w:eastAsia="黑体"/>
          <w:color w:val="000000" w:themeColor="text1"/>
          <w:sz w:val="32"/>
          <w:szCs w:val="32"/>
        </w:rPr>
        <w:t>四、保障措施</w:t>
      </w:r>
    </w:p>
    <w:p>
      <w:pPr>
        <w:pStyle w:val="10"/>
        <w:spacing w:line="580" w:lineRule="exact"/>
        <w:ind w:firstLine="643" w:firstLineChars="200"/>
        <w:jc w:val="both"/>
        <w:rPr>
          <w:rFonts w:ascii="楷体_GB2312" w:eastAsia="楷体_GB2312"/>
          <w:b/>
          <w:color w:val="000000" w:themeColor="text1"/>
          <w:sz w:val="32"/>
          <w:szCs w:val="32"/>
        </w:rPr>
      </w:pPr>
      <w:r>
        <w:rPr>
          <w:rFonts w:hint="eastAsia" w:ascii="楷体_GB2312" w:eastAsia="楷体_GB2312"/>
          <w:b/>
          <w:color w:val="000000" w:themeColor="text1"/>
          <w:sz w:val="32"/>
          <w:szCs w:val="32"/>
        </w:rPr>
        <w:t>（一）加强组织领导</w:t>
      </w:r>
    </w:p>
    <w:p>
      <w:pPr>
        <w:pStyle w:val="10"/>
        <w:spacing w:line="580" w:lineRule="exact"/>
        <w:ind w:firstLine="648" w:firstLineChars="200"/>
        <w:jc w:val="both"/>
        <w:rPr>
          <w:rFonts w:ascii="仿宋_GB2312" w:eastAsia="仿宋_GB2312"/>
          <w:color w:val="000000" w:themeColor="text1"/>
          <w:spacing w:val="2"/>
          <w:sz w:val="32"/>
          <w:szCs w:val="32"/>
        </w:rPr>
      </w:pPr>
      <w:r>
        <w:rPr>
          <w:rFonts w:hint="eastAsia" w:ascii="仿宋_GB2312" w:eastAsia="仿宋_GB2312"/>
          <w:color w:val="000000" w:themeColor="text1"/>
          <w:spacing w:val="2"/>
          <w:sz w:val="32"/>
          <w:szCs w:val="32"/>
        </w:rPr>
        <w:t>柳州市</w:t>
      </w:r>
      <w:r>
        <w:rPr>
          <w:rFonts w:ascii="仿宋_GB2312" w:eastAsia="仿宋_GB2312"/>
          <w:color w:val="000000" w:themeColor="text1"/>
          <w:spacing w:val="2"/>
          <w:sz w:val="32"/>
          <w:szCs w:val="32"/>
        </w:rPr>
        <w:t>全民科学素质工作领导小组要切实加大统筹协调力度，高标准、高效率、高要求部署推进全民科学素质工作，形成政府多部门整体联动、相互协作,社会公众广泛参与良好格局。</w:t>
      </w:r>
      <w:r>
        <w:rPr>
          <w:rFonts w:hint="eastAsia" w:ascii="仿宋_GB2312" w:eastAsia="仿宋_GB2312"/>
          <w:color w:val="000000" w:themeColor="text1"/>
          <w:spacing w:val="2"/>
          <w:sz w:val="32"/>
          <w:szCs w:val="32"/>
        </w:rPr>
        <w:t>全民科学素质工作领导小组各成员单位和有关部门</w:t>
      </w:r>
      <w:r>
        <w:rPr>
          <w:rFonts w:ascii="仿宋_GB2312" w:eastAsia="仿宋_GB2312"/>
          <w:color w:val="000000" w:themeColor="text1"/>
          <w:spacing w:val="2"/>
          <w:sz w:val="32"/>
          <w:szCs w:val="32"/>
        </w:rPr>
        <w:t>要按照</w:t>
      </w:r>
      <w:r>
        <w:rPr>
          <w:rFonts w:hint="eastAsia" w:ascii="仿宋_GB2312" w:eastAsia="仿宋_GB2312"/>
          <w:color w:val="000000" w:themeColor="text1"/>
          <w:spacing w:val="2"/>
          <w:sz w:val="32"/>
          <w:szCs w:val="32"/>
        </w:rPr>
        <w:t>方案</w:t>
      </w:r>
      <w:r>
        <w:rPr>
          <w:rFonts w:ascii="仿宋_GB2312" w:eastAsia="仿宋_GB2312"/>
          <w:color w:val="000000" w:themeColor="text1"/>
          <w:spacing w:val="2"/>
          <w:sz w:val="32"/>
          <w:szCs w:val="32"/>
        </w:rPr>
        <w:t>要求和分工安排, 将有关任务纳入本部门、本系统的相关工作规划和计划，认真履行职责，落实责任。牵头单位要加强对各项重点任务落实情况的检查和督查，协作单位要充分发挥自身优势，加强协调配合，形成工作合力。</w:t>
      </w:r>
    </w:p>
    <w:p>
      <w:pPr>
        <w:pStyle w:val="10"/>
        <w:spacing w:line="580" w:lineRule="exact"/>
        <w:ind w:firstLine="643" w:firstLineChars="200"/>
        <w:jc w:val="both"/>
        <w:rPr>
          <w:rFonts w:ascii="楷体_GB2312" w:eastAsia="楷体_GB2312"/>
          <w:b/>
          <w:color w:val="000000" w:themeColor="text1"/>
          <w:sz w:val="32"/>
          <w:szCs w:val="32"/>
        </w:rPr>
      </w:pPr>
      <w:r>
        <w:rPr>
          <w:rFonts w:hint="eastAsia" w:ascii="楷体_GB2312" w:eastAsia="楷体_GB2312"/>
          <w:b/>
          <w:color w:val="000000" w:themeColor="text1"/>
          <w:sz w:val="32"/>
          <w:szCs w:val="32"/>
        </w:rPr>
        <w:t>（二）加强经费保障</w:t>
      </w:r>
    </w:p>
    <w:p>
      <w:pPr>
        <w:pStyle w:val="10"/>
        <w:spacing w:line="580" w:lineRule="exact"/>
        <w:ind w:firstLine="640" w:firstLineChars="200"/>
        <w:jc w:val="both"/>
        <w:rPr>
          <w:rFonts w:ascii="仿宋_GB2312" w:eastAsia="仿宋_GB2312"/>
          <w:color w:val="000000" w:themeColor="text1"/>
          <w:sz w:val="32"/>
          <w:szCs w:val="32"/>
        </w:rPr>
      </w:pPr>
      <w:r>
        <w:rPr>
          <w:rFonts w:ascii="仿宋_GB2312" w:eastAsia="仿宋_GB2312"/>
          <w:color w:val="000000" w:themeColor="text1"/>
          <w:sz w:val="32"/>
          <w:szCs w:val="32"/>
        </w:rPr>
        <w:t>坚持政府引导，鼓励社会投入，形成多渠道投入机制，为公民科学素质建设提供资金保障。</w:t>
      </w:r>
      <w:r>
        <w:rPr>
          <w:rFonts w:hint="eastAsia" w:ascii="仿宋_GB2312" w:eastAsia="仿宋_GB2312"/>
          <w:color w:val="000000" w:themeColor="text1"/>
          <w:sz w:val="32"/>
          <w:szCs w:val="32"/>
        </w:rPr>
        <w:t>按照分级负责的要求，全市各级财政要保障公民科学素质建设工作正常开展。市财政每年安排必要经费用于公民科学素质工作，各县区政府根据财力情况和公民科学素质建设发展的实际需要，将科普经费列入同级财政预算，安排一定的经费用于公民科学素质建设</w:t>
      </w:r>
      <w:r>
        <w:rPr>
          <w:rFonts w:ascii="仿宋_GB2312" w:eastAsia="仿宋_GB2312"/>
          <w:color w:val="000000" w:themeColor="text1"/>
          <w:sz w:val="32"/>
          <w:szCs w:val="32"/>
        </w:rPr>
        <w:t>。</w:t>
      </w:r>
      <w:r>
        <w:rPr>
          <w:rFonts w:hint="eastAsia" w:ascii="仿宋_GB2312" w:eastAsia="仿宋_GB2312"/>
          <w:color w:val="000000" w:themeColor="text1"/>
          <w:sz w:val="32"/>
          <w:szCs w:val="32"/>
        </w:rPr>
        <w:t>各有关部门根据承担的任务，按照柳州市预算管理的规定和现行资金渠道，统筹考虑和落实公民科学素质建设所需经费。</w:t>
      </w:r>
    </w:p>
    <w:p>
      <w:pPr>
        <w:pStyle w:val="10"/>
        <w:spacing w:line="580" w:lineRule="exact"/>
        <w:ind w:firstLine="643" w:firstLineChars="200"/>
        <w:jc w:val="both"/>
        <w:rPr>
          <w:rFonts w:ascii="楷体_GB2312" w:eastAsia="楷体_GB2312"/>
          <w:b/>
          <w:color w:val="000000" w:themeColor="text1"/>
          <w:sz w:val="32"/>
          <w:szCs w:val="32"/>
        </w:rPr>
      </w:pPr>
      <w:r>
        <w:rPr>
          <w:rFonts w:hint="eastAsia" w:ascii="楷体_GB2312" w:eastAsia="楷体_GB2312"/>
          <w:b/>
          <w:color w:val="000000" w:themeColor="text1"/>
          <w:sz w:val="32"/>
          <w:szCs w:val="32"/>
        </w:rPr>
        <w:t>（三）加强氛围营造</w:t>
      </w:r>
    </w:p>
    <w:p>
      <w:pPr>
        <w:pStyle w:val="10"/>
        <w:spacing w:line="580" w:lineRule="exact"/>
        <w:ind w:firstLine="640" w:firstLineChars="200"/>
        <w:jc w:val="both"/>
        <w:rPr>
          <w:rFonts w:ascii="楷体_GB2312" w:eastAsia="楷体_GB2312"/>
          <w:color w:val="000000" w:themeColor="text1"/>
          <w:sz w:val="32"/>
          <w:szCs w:val="32"/>
        </w:rPr>
      </w:pPr>
      <w:r>
        <w:rPr>
          <w:rFonts w:hint="eastAsia" w:ascii="仿宋_GB2312" w:eastAsia="仿宋_GB2312"/>
          <w:color w:val="000000" w:themeColor="text1"/>
          <w:sz w:val="32"/>
          <w:szCs w:val="32"/>
        </w:rPr>
        <w:t>各县区、各部门要按照“政府推动、全民参与、提升素质、促进和谐”工作方针，构建“大联合、大协作”工作格局，围绕“节约能源资源、保护生态环境、保障安全健康、促进创新创造”主题，广泛动员全社会力量，进农村、进学校、进社区、进机关、进企业、进公共场所开展科普宣传活动，让科技惠及百姓民众。</w:t>
      </w:r>
    </w:p>
    <w:p>
      <w:pPr>
        <w:pStyle w:val="10"/>
        <w:spacing w:line="580" w:lineRule="exact"/>
        <w:ind w:firstLine="643" w:firstLineChars="200"/>
        <w:jc w:val="both"/>
        <w:rPr>
          <w:rFonts w:ascii="楷体_GB2312" w:eastAsia="楷体_GB2312"/>
          <w:b/>
          <w:color w:val="000000" w:themeColor="text1"/>
          <w:sz w:val="32"/>
          <w:szCs w:val="32"/>
        </w:rPr>
      </w:pPr>
      <w:r>
        <w:rPr>
          <w:rFonts w:hint="eastAsia" w:ascii="楷体_GB2312" w:eastAsia="楷体_GB2312"/>
          <w:b/>
          <w:color w:val="000000" w:themeColor="text1"/>
          <w:sz w:val="32"/>
          <w:szCs w:val="32"/>
        </w:rPr>
        <w:t>（四）强化宣传引导</w:t>
      </w:r>
    </w:p>
    <w:p>
      <w:pPr>
        <w:pStyle w:val="10"/>
        <w:spacing w:line="58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相关媒体及部门要大力宣传我市全民科学素质建设工作的重大意义、目标任务、重大举措和进展成效。以喜闻乐见的有效方式引导群众了解和掌握必备的科学知识，促进全民学科学、爱科学、用科学。加强正面宣传、科学引导和典型报道，增强社会对提高全民科学素质的普遍认知，营造良好的社会氛围。</w:t>
      </w:r>
    </w:p>
    <w:p>
      <w:pPr>
        <w:pStyle w:val="10"/>
        <w:spacing w:line="580" w:lineRule="exact"/>
        <w:ind w:firstLine="643" w:firstLineChars="200"/>
        <w:jc w:val="both"/>
        <w:rPr>
          <w:rFonts w:ascii="楷体_GB2312" w:eastAsia="楷体_GB2312"/>
          <w:b/>
          <w:color w:val="000000" w:themeColor="text1"/>
          <w:sz w:val="32"/>
          <w:szCs w:val="32"/>
        </w:rPr>
      </w:pPr>
      <w:r>
        <w:rPr>
          <w:rFonts w:hint="eastAsia" w:ascii="楷体_GB2312" w:eastAsia="楷体_GB2312"/>
          <w:b/>
          <w:color w:val="000000" w:themeColor="text1"/>
          <w:sz w:val="32"/>
          <w:szCs w:val="32"/>
        </w:rPr>
        <w:t>（五）加强督促检查</w:t>
      </w:r>
    </w:p>
    <w:p>
      <w:pPr>
        <w:pStyle w:val="10"/>
        <w:spacing w:line="580" w:lineRule="exact"/>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柳州市全民科学素质工作领导小组办公室对各县区各部门推进公民科学素质建设情况进行督促检查，推动工作任务的落实，要加强全市、各县区全民科学素质工作的研究和经验交流。对在公民科学素质建设中做出突出贡献的集体和个人，按照有关规定给予表彰奖励，</w:t>
      </w:r>
      <w:r>
        <w:rPr>
          <w:rFonts w:ascii="仿宋_GB2312" w:eastAsia="仿宋_GB2312"/>
          <w:color w:val="000000" w:themeColor="text1"/>
          <w:sz w:val="32"/>
          <w:szCs w:val="32"/>
        </w:rPr>
        <w:t xml:space="preserve">大力宣传先进人物和典型经验。 </w:t>
      </w:r>
    </w:p>
    <w:p>
      <w:pPr>
        <w:pStyle w:val="10"/>
        <w:spacing w:line="540" w:lineRule="exact"/>
        <w:ind w:left="1598" w:leftChars="304" w:hanging="960" w:hangingChars="300"/>
        <w:rPr>
          <w:rFonts w:ascii="仿宋_GB2312" w:eastAsia="仿宋_GB2312"/>
          <w:color w:val="000000" w:themeColor="text1"/>
          <w:sz w:val="32"/>
          <w:szCs w:val="32"/>
        </w:rPr>
      </w:pPr>
    </w:p>
    <w:p>
      <w:pPr>
        <w:pStyle w:val="10"/>
        <w:spacing w:line="540" w:lineRule="exact"/>
        <w:ind w:left="1598" w:leftChars="304" w:hanging="960" w:hangingChars="300"/>
        <w:rPr>
          <w:rFonts w:ascii="仿宋_GB2312" w:eastAsia="仿宋_GB2312"/>
          <w:color w:val="000000" w:themeColor="text1"/>
          <w:sz w:val="32"/>
          <w:szCs w:val="32"/>
        </w:rPr>
      </w:pPr>
    </w:p>
    <w:p>
      <w:pPr>
        <w:pStyle w:val="10"/>
        <w:spacing w:line="540" w:lineRule="exact"/>
        <w:ind w:left="1598" w:leftChars="304" w:hanging="960" w:hangingChars="300"/>
        <w:rPr>
          <w:rFonts w:hAnsi="黑体"/>
          <w:color w:val="000000" w:themeColor="text1"/>
          <w:sz w:val="32"/>
          <w:szCs w:val="32"/>
        </w:rPr>
        <w:sectPr>
          <w:footerReference r:id="rId3" w:type="default"/>
          <w:footerReference r:id="rId4" w:type="even"/>
          <w:pgSz w:w="11906" w:h="16838"/>
          <w:pgMar w:top="2098" w:right="1474" w:bottom="1985" w:left="1588" w:header="851" w:footer="1247" w:gutter="0"/>
          <w:pgNumType w:fmt="numberInDash"/>
          <w:cols w:space="425" w:num="1"/>
          <w:docGrid w:type="lines" w:linePitch="312" w:charSpace="0"/>
        </w:sectPr>
      </w:pPr>
    </w:p>
    <w:p>
      <w:pPr>
        <w:pStyle w:val="10"/>
        <w:spacing w:line="600" w:lineRule="exact"/>
        <w:rPr>
          <w:rFonts w:ascii="黑体" w:hAnsi="黑体" w:eastAsia="黑体"/>
          <w:color w:val="000000" w:themeColor="text1"/>
          <w:sz w:val="32"/>
          <w:szCs w:val="32"/>
        </w:rPr>
      </w:pPr>
      <w:r>
        <w:rPr>
          <w:rFonts w:hint="eastAsia" w:ascii="黑体" w:hAnsi="黑体" w:eastAsia="黑体"/>
          <w:color w:val="000000" w:themeColor="text1"/>
          <w:sz w:val="32"/>
          <w:szCs w:val="32"/>
        </w:rPr>
        <w:t>附件2</w:t>
      </w:r>
    </w:p>
    <w:p>
      <w:pPr>
        <w:pStyle w:val="10"/>
        <w:spacing w:line="600" w:lineRule="exact"/>
        <w:rPr>
          <w:rFonts w:ascii="黑体" w:hAnsi="黑体" w:eastAsia="黑体"/>
          <w:color w:val="000000" w:themeColor="text1"/>
          <w:sz w:val="44"/>
          <w:szCs w:val="44"/>
        </w:rPr>
      </w:pPr>
    </w:p>
    <w:p>
      <w:pPr>
        <w:pStyle w:val="10"/>
        <w:spacing w:line="600" w:lineRule="exact"/>
        <w:jc w:val="center"/>
        <w:rPr>
          <w:color w:val="000000" w:themeColor="text1"/>
        </w:rPr>
      </w:pPr>
      <w:r>
        <w:rPr>
          <w:rFonts w:hint="eastAsia" w:ascii="方正小标宋简体" w:hAnsi="黑体" w:eastAsia="方正小标宋简体"/>
          <w:color w:val="000000" w:themeColor="text1"/>
          <w:sz w:val="44"/>
          <w:szCs w:val="44"/>
        </w:rPr>
        <w:t>《2020年柳州市全民科学素质行动攻坚方案》重点任务分解表</w:t>
      </w:r>
    </w:p>
    <w:tbl>
      <w:tblPr>
        <w:tblStyle w:val="6"/>
        <w:tblW w:w="12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5235"/>
        <w:gridCol w:w="1886"/>
        <w:gridCol w:w="2551"/>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30" w:type="dxa"/>
            <w:vAlign w:val="center"/>
          </w:tcPr>
          <w:p>
            <w:pPr>
              <w:pStyle w:val="10"/>
              <w:spacing w:line="400" w:lineRule="exact"/>
              <w:jc w:val="center"/>
              <w:rPr>
                <w:rFonts w:ascii="黑体" w:hAnsi="黑体" w:eastAsia="黑体"/>
                <w:color w:val="000000" w:themeColor="text1"/>
                <w:sz w:val="30"/>
                <w:szCs w:val="30"/>
              </w:rPr>
            </w:pPr>
            <w:r>
              <w:rPr>
                <w:rFonts w:hint="eastAsia" w:ascii="黑体" w:hAnsi="黑体" w:eastAsia="黑体"/>
                <w:color w:val="000000" w:themeColor="text1"/>
                <w:sz w:val="30"/>
                <w:szCs w:val="30"/>
              </w:rPr>
              <w:t>工作</w:t>
            </w:r>
          </w:p>
          <w:p>
            <w:pPr>
              <w:pStyle w:val="10"/>
              <w:spacing w:line="400" w:lineRule="exact"/>
              <w:jc w:val="center"/>
              <w:rPr>
                <w:rFonts w:ascii="黑体" w:hAnsi="黑体" w:eastAsia="黑体"/>
                <w:color w:val="000000" w:themeColor="text1"/>
                <w:sz w:val="30"/>
                <w:szCs w:val="30"/>
              </w:rPr>
            </w:pPr>
            <w:r>
              <w:rPr>
                <w:rFonts w:hint="eastAsia" w:ascii="黑体" w:hAnsi="黑体" w:eastAsia="黑体"/>
                <w:color w:val="000000" w:themeColor="text1"/>
                <w:sz w:val="30"/>
                <w:szCs w:val="30"/>
              </w:rPr>
              <w:t>任务</w:t>
            </w:r>
          </w:p>
        </w:tc>
        <w:tc>
          <w:tcPr>
            <w:tcW w:w="5235" w:type="dxa"/>
            <w:vAlign w:val="center"/>
          </w:tcPr>
          <w:p>
            <w:pPr>
              <w:pStyle w:val="10"/>
              <w:spacing w:line="400" w:lineRule="exact"/>
              <w:jc w:val="center"/>
              <w:rPr>
                <w:rFonts w:ascii="黑体" w:hAnsi="黑体" w:eastAsia="黑体"/>
                <w:color w:val="000000" w:themeColor="text1"/>
                <w:sz w:val="30"/>
                <w:szCs w:val="30"/>
              </w:rPr>
            </w:pPr>
            <w:r>
              <w:rPr>
                <w:rFonts w:hint="eastAsia" w:ascii="黑体" w:hAnsi="黑体" w:eastAsia="黑体"/>
                <w:color w:val="000000" w:themeColor="text1"/>
                <w:sz w:val="30"/>
                <w:szCs w:val="30"/>
              </w:rPr>
              <w:t>主要内容</w:t>
            </w:r>
          </w:p>
        </w:tc>
        <w:tc>
          <w:tcPr>
            <w:tcW w:w="1886" w:type="dxa"/>
            <w:vAlign w:val="center"/>
          </w:tcPr>
          <w:p>
            <w:pPr>
              <w:pStyle w:val="10"/>
              <w:spacing w:line="400" w:lineRule="exact"/>
              <w:jc w:val="center"/>
              <w:rPr>
                <w:rFonts w:ascii="黑体" w:hAnsi="黑体" w:eastAsia="黑体"/>
                <w:color w:val="000000" w:themeColor="text1"/>
                <w:sz w:val="30"/>
                <w:szCs w:val="30"/>
              </w:rPr>
            </w:pPr>
            <w:r>
              <w:rPr>
                <w:rFonts w:hint="eastAsia" w:ascii="黑体" w:hAnsi="黑体" w:eastAsia="黑体"/>
                <w:color w:val="000000" w:themeColor="text1"/>
                <w:sz w:val="30"/>
                <w:szCs w:val="30"/>
              </w:rPr>
              <w:t>牵头单位</w:t>
            </w:r>
          </w:p>
        </w:tc>
        <w:tc>
          <w:tcPr>
            <w:tcW w:w="2551" w:type="dxa"/>
            <w:vAlign w:val="center"/>
          </w:tcPr>
          <w:p>
            <w:pPr>
              <w:pStyle w:val="10"/>
              <w:spacing w:line="400" w:lineRule="exact"/>
              <w:jc w:val="center"/>
              <w:rPr>
                <w:rFonts w:ascii="黑体" w:hAnsi="黑体" w:eastAsia="黑体"/>
                <w:color w:val="000000" w:themeColor="text1"/>
                <w:sz w:val="30"/>
                <w:szCs w:val="30"/>
              </w:rPr>
            </w:pPr>
            <w:r>
              <w:rPr>
                <w:rFonts w:hint="eastAsia" w:ascii="黑体" w:hAnsi="黑体" w:eastAsia="黑体"/>
                <w:color w:val="000000" w:themeColor="text1"/>
                <w:sz w:val="30"/>
                <w:szCs w:val="30"/>
              </w:rPr>
              <w:t>责任单位</w:t>
            </w:r>
          </w:p>
        </w:tc>
        <w:tc>
          <w:tcPr>
            <w:tcW w:w="1602" w:type="dxa"/>
            <w:vAlign w:val="center"/>
          </w:tcPr>
          <w:p>
            <w:pPr>
              <w:pStyle w:val="10"/>
              <w:spacing w:line="400" w:lineRule="exact"/>
              <w:jc w:val="center"/>
              <w:rPr>
                <w:rFonts w:ascii="黑体" w:hAnsi="黑体" w:eastAsia="黑体"/>
                <w:color w:val="000000" w:themeColor="text1"/>
                <w:sz w:val="30"/>
                <w:szCs w:val="30"/>
              </w:rPr>
            </w:pPr>
            <w:r>
              <w:rPr>
                <w:rFonts w:hint="eastAsia" w:ascii="黑体" w:hAnsi="黑体" w:eastAsia="黑体"/>
                <w:color w:val="000000" w:themeColor="text1"/>
                <w:sz w:val="30"/>
                <w:szCs w:val="30"/>
              </w:rPr>
              <w:t>开展</w:t>
            </w:r>
          </w:p>
          <w:p>
            <w:pPr>
              <w:pStyle w:val="10"/>
              <w:spacing w:line="400" w:lineRule="exact"/>
              <w:jc w:val="center"/>
              <w:rPr>
                <w:rFonts w:ascii="黑体" w:hAnsi="黑体" w:eastAsia="黑体"/>
                <w:color w:val="000000" w:themeColor="text1"/>
                <w:sz w:val="30"/>
                <w:szCs w:val="30"/>
              </w:rPr>
            </w:pPr>
            <w:r>
              <w:rPr>
                <w:rFonts w:hint="eastAsia" w:ascii="黑体" w:hAnsi="黑体" w:eastAsia="黑体"/>
                <w:color w:val="000000" w:themeColor="text1"/>
                <w:sz w:val="30"/>
                <w:szCs w:val="3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1630" w:type="dxa"/>
            <w:vMerge w:val="restart"/>
            <w:vAlign w:val="center"/>
          </w:tcPr>
          <w:p>
            <w:pPr>
              <w:pStyle w:val="10"/>
              <w:spacing w:line="440" w:lineRule="exact"/>
              <w:jc w:val="center"/>
              <w:rPr>
                <w:rFonts w:ascii="楷体_GB2312" w:hAnsi="Calibri" w:eastAsia="楷体_GB2312"/>
                <w:b/>
                <w:color w:val="000000" w:themeColor="text1"/>
                <w:sz w:val="24"/>
              </w:rPr>
            </w:pPr>
            <w:r>
              <w:rPr>
                <w:rFonts w:hint="eastAsia" w:ascii="楷体_GB2312" w:hAnsi="Calibri" w:eastAsia="楷体_GB2312"/>
                <w:b/>
                <w:color w:val="000000" w:themeColor="text1"/>
                <w:sz w:val="24"/>
              </w:rPr>
              <w:t>（一）实施“八桂科普大行动”辐射拓展工程</w:t>
            </w:r>
          </w:p>
        </w:tc>
        <w:tc>
          <w:tcPr>
            <w:tcW w:w="5235" w:type="dxa"/>
            <w:vAlign w:val="center"/>
          </w:tcPr>
          <w:p>
            <w:pPr>
              <w:pStyle w:val="10"/>
              <w:spacing w:line="440" w:lineRule="exact"/>
              <w:ind w:firstLine="472" w:firstLineChars="200"/>
              <w:rPr>
                <w:rFonts w:ascii="仿宋_GB2312" w:hAnsi="Calibri" w:eastAsia="仿宋_GB2312"/>
                <w:color w:val="000000" w:themeColor="text1"/>
                <w:spacing w:val="-2"/>
                <w:sz w:val="24"/>
              </w:rPr>
            </w:pPr>
            <w:r>
              <w:rPr>
                <w:rFonts w:hint="eastAsia" w:ascii="仿宋_GB2312" w:hAnsi="Calibri" w:eastAsia="仿宋_GB2312"/>
                <w:color w:val="000000" w:themeColor="text1"/>
                <w:spacing w:val="-2"/>
                <w:sz w:val="24"/>
              </w:rPr>
              <w:t>1.举办“全国科技活动周·柳州活动”。开展系列丰富多彩的科技活动，吸引公众对科学的兴趣，激发公众参与创新发展的热情。</w:t>
            </w:r>
          </w:p>
        </w:tc>
        <w:tc>
          <w:tcPr>
            <w:tcW w:w="1886" w:type="dxa"/>
            <w:vAlign w:val="center"/>
          </w:tcPr>
          <w:p>
            <w:pPr>
              <w:pStyle w:val="10"/>
              <w:spacing w:line="440" w:lineRule="exact"/>
              <w:rPr>
                <w:rFonts w:ascii="仿宋_GB2312" w:hAnsi="Calibri" w:eastAsia="仿宋_GB2312"/>
                <w:color w:val="000000" w:themeColor="text1"/>
                <w:sz w:val="24"/>
              </w:rPr>
            </w:pPr>
            <w:r>
              <w:rPr>
                <w:rFonts w:hint="eastAsia" w:ascii="仿宋_GB2312" w:hAnsi="Calibri" w:eastAsia="仿宋_GB2312"/>
                <w:color w:val="000000" w:themeColor="text1"/>
                <w:sz w:val="24"/>
              </w:rPr>
              <w:t>市科技局</w:t>
            </w:r>
          </w:p>
        </w:tc>
        <w:tc>
          <w:tcPr>
            <w:tcW w:w="2551" w:type="dxa"/>
            <w:vAlign w:val="center"/>
          </w:tcPr>
          <w:p>
            <w:pPr>
              <w:pStyle w:val="10"/>
              <w:spacing w:line="440" w:lineRule="exact"/>
              <w:rPr>
                <w:rFonts w:ascii="仿宋_GB2312" w:hAnsi="Calibri" w:eastAsia="仿宋_GB2312"/>
                <w:color w:val="000000" w:themeColor="text1"/>
                <w:sz w:val="24"/>
              </w:rPr>
            </w:pPr>
            <w:r>
              <w:rPr>
                <w:rFonts w:hint="eastAsia" w:ascii="仿宋_GB2312" w:hAnsi="Calibri" w:eastAsia="仿宋_GB2312"/>
                <w:color w:val="000000" w:themeColor="text1"/>
                <w:sz w:val="24"/>
              </w:rPr>
              <w:t>市委宣传部、发展改革委、教育局、工业和信息化局、人力资源社会保障局、总工会、妇联、社科联、科协、团市委等</w:t>
            </w:r>
          </w:p>
        </w:tc>
        <w:tc>
          <w:tcPr>
            <w:tcW w:w="1602" w:type="dxa"/>
            <w:vAlign w:val="center"/>
          </w:tcPr>
          <w:p>
            <w:pPr>
              <w:pStyle w:val="10"/>
              <w:spacing w:line="440" w:lineRule="exact"/>
              <w:jc w:val="center"/>
              <w:rPr>
                <w:rFonts w:ascii="仿宋_GB2312" w:hAnsi="Calibri" w:eastAsia="仿宋_GB2312"/>
                <w:color w:val="000000" w:themeColor="text1"/>
                <w:sz w:val="24"/>
              </w:rPr>
            </w:pPr>
            <w:r>
              <w:rPr>
                <w:rFonts w:hint="eastAsia" w:ascii="仿宋_GB2312" w:hAnsi="Calibri" w:eastAsia="仿宋_GB2312"/>
                <w:color w:val="000000" w:themeColor="text1"/>
                <w:sz w:val="24"/>
              </w:rPr>
              <w:t>5月中下旬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1630" w:type="dxa"/>
            <w:vMerge w:val="continue"/>
            <w:vAlign w:val="center"/>
          </w:tcPr>
          <w:p>
            <w:pPr>
              <w:pStyle w:val="10"/>
              <w:spacing w:line="440" w:lineRule="exact"/>
              <w:jc w:val="center"/>
              <w:rPr>
                <w:rFonts w:ascii="仿宋_GB2312" w:hAnsi="Calibri" w:eastAsia="仿宋_GB2312"/>
                <w:b/>
                <w:color w:val="000000" w:themeColor="text1"/>
                <w:sz w:val="24"/>
              </w:rPr>
            </w:pPr>
          </w:p>
        </w:tc>
        <w:tc>
          <w:tcPr>
            <w:tcW w:w="5235" w:type="dxa"/>
            <w:vAlign w:val="center"/>
          </w:tcPr>
          <w:p>
            <w:pPr>
              <w:pStyle w:val="10"/>
              <w:spacing w:line="440" w:lineRule="exact"/>
              <w:ind w:firstLine="480" w:firstLineChars="200"/>
              <w:rPr>
                <w:rFonts w:ascii="仿宋_GB2312" w:hAnsi="Calibri" w:eastAsia="仿宋_GB2312"/>
                <w:color w:val="000000" w:themeColor="text1"/>
                <w:sz w:val="24"/>
              </w:rPr>
            </w:pPr>
            <w:r>
              <w:rPr>
                <w:rFonts w:hint="eastAsia" w:ascii="仿宋_GB2312" w:hAnsi="Calibri" w:eastAsia="仿宋_GB2312"/>
                <w:color w:val="000000" w:themeColor="text1"/>
                <w:sz w:val="24"/>
              </w:rPr>
              <w:t>2.举办“八桂科普大行动</w:t>
            </w:r>
            <w:r>
              <w:rPr>
                <w:rFonts w:hint="eastAsia" w:ascii="仿宋_GB2312" w:hAnsi="Calibri" w:eastAsia="仿宋_GB2312"/>
                <w:color w:val="000000" w:themeColor="text1"/>
                <w:spacing w:val="-2"/>
                <w:sz w:val="24"/>
              </w:rPr>
              <w:t>·</w:t>
            </w:r>
            <w:r>
              <w:rPr>
                <w:rFonts w:hint="eastAsia" w:ascii="仿宋_GB2312" w:hAnsi="仿宋_GB2312" w:eastAsia="仿宋_GB2312" w:cs="仿宋_GB2312"/>
                <w:color w:val="000000" w:themeColor="text1"/>
                <w:sz w:val="24"/>
              </w:rPr>
              <w:t>柳州活动</w:t>
            </w:r>
            <w:r>
              <w:rPr>
                <w:rFonts w:hint="eastAsia" w:ascii="仿宋_GB2312" w:hAnsi="Calibri" w:eastAsia="仿宋_GB2312"/>
                <w:color w:val="000000" w:themeColor="text1"/>
                <w:sz w:val="24"/>
              </w:rPr>
              <w:t>”。集中开展五大联合行动：基层科普联合行动、科普基地联合行动、校园科普联合行动、科技馆特色科普联合行动、专家科学传播行动，提升活动品牌效应和辐射带动作用，促进我市公民科学素质跨越提升。</w:t>
            </w:r>
          </w:p>
        </w:tc>
        <w:tc>
          <w:tcPr>
            <w:tcW w:w="1886" w:type="dxa"/>
            <w:vAlign w:val="center"/>
          </w:tcPr>
          <w:p>
            <w:pPr>
              <w:pStyle w:val="10"/>
              <w:spacing w:line="440" w:lineRule="exact"/>
              <w:rPr>
                <w:rFonts w:ascii="仿宋_GB2312" w:hAnsi="Calibri" w:eastAsia="仿宋_GB2312"/>
                <w:color w:val="000000" w:themeColor="text1"/>
                <w:sz w:val="24"/>
              </w:rPr>
            </w:pPr>
            <w:r>
              <w:rPr>
                <w:rFonts w:hint="eastAsia" w:ascii="仿宋_GB2312" w:hAnsi="Calibri" w:eastAsia="仿宋_GB2312"/>
                <w:color w:val="000000" w:themeColor="text1"/>
                <w:sz w:val="24"/>
              </w:rPr>
              <w:t>市科协</w:t>
            </w:r>
          </w:p>
        </w:tc>
        <w:tc>
          <w:tcPr>
            <w:tcW w:w="2551" w:type="dxa"/>
            <w:vAlign w:val="center"/>
          </w:tcPr>
          <w:p>
            <w:pPr>
              <w:pStyle w:val="10"/>
              <w:spacing w:line="440" w:lineRule="exact"/>
              <w:rPr>
                <w:rFonts w:ascii="仿宋_GB2312" w:hAnsi="Calibri" w:eastAsia="仿宋_GB2312"/>
                <w:color w:val="000000" w:themeColor="text1"/>
                <w:spacing w:val="-4"/>
                <w:sz w:val="24"/>
              </w:rPr>
            </w:pPr>
            <w:r>
              <w:rPr>
                <w:rFonts w:hint="eastAsia" w:ascii="仿宋_GB2312" w:hAnsi="Calibri" w:eastAsia="仿宋_GB2312"/>
                <w:color w:val="000000" w:themeColor="text1"/>
                <w:spacing w:val="-4"/>
                <w:sz w:val="24"/>
              </w:rPr>
              <w:t>领导小组各成员单位</w:t>
            </w:r>
          </w:p>
        </w:tc>
        <w:tc>
          <w:tcPr>
            <w:tcW w:w="1602" w:type="dxa"/>
            <w:vAlign w:val="center"/>
          </w:tcPr>
          <w:p>
            <w:pPr>
              <w:pStyle w:val="10"/>
              <w:spacing w:line="440" w:lineRule="exact"/>
              <w:jc w:val="center"/>
              <w:rPr>
                <w:rFonts w:ascii="仿宋_GB2312" w:hAnsi="Calibri" w:eastAsia="仿宋_GB2312"/>
                <w:color w:val="000000" w:themeColor="text1"/>
                <w:sz w:val="24"/>
              </w:rPr>
            </w:pPr>
            <w:r>
              <w:rPr>
                <w:rFonts w:hint="eastAsia" w:ascii="仿宋_GB2312" w:hAnsi="Calibri" w:eastAsia="仿宋_GB2312"/>
                <w:color w:val="000000" w:themeColor="text1"/>
                <w:sz w:val="24"/>
              </w:rPr>
              <w:t>5-9月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630" w:type="dxa"/>
            <w:vMerge w:val="restart"/>
            <w:vAlign w:val="center"/>
          </w:tcPr>
          <w:p>
            <w:pPr>
              <w:pStyle w:val="10"/>
              <w:jc w:val="center"/>
              <w:rPr>
                <w:rFonts w:ascii="楷体_GB2312" w:hAnsi="Calibri" w:eastAsia="楷体_GB2312"/>
                <w:b/>
                <w:color w:val="000000" w:themeColor="text1"/>
                <w:sz w:val="24"/>
              </w:rPr>
            </w:pPr>
            <w:r>
              <w:rPr>
                <w:rFonts w:hint="eastAsia" w:ascii="楷体_GB2312" w:hAnsi="Calibri" w:eastAsia="楷体_GB2312"/>
                <w:b/>
                <w:color w:val="000000" w:themeColor="text1"/>
                <w:sz w:val="24"/>
              </w:rPr>
              <w:t>（二）实施少年强科普教育工程</w:t>
            </w:r>
          </w:p>
          <w:p>
            <w:pPr>
              <w:pStyle w:val="10"/>
              <w:spacing w:line="440" w:lineRule="exact"/>
              <w:jc w:val="center"/>
              <w:rPr>
                <w:rFonts w:ascii="仿宋_GB2312" w:hAnsi="Calibri" w:eastAsia="仿宋_GB2312"/>
                <w:b/>
                <w:color w:val="000000" w:themeColor="text1"/>
                <w:sz w:val="24"/>
              </w:rPr>
            </w:pPr>
          </w:p>
        </w:tc>
        <w:tc>
          <w:tcPr>
            <w:tcW w:w="5235" w:type="dxa"/>
            <w:vAlign w:val="center"/>
          </w:tcPr>
          <w:p>
            <w:pPr>
              <w:pStyle w:val="10"/>
              <w:spacing w:line="440" w:lineRule="exact"/>
              <w:ind w:firstLine="480" w:firstLineChars="200"/>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1.努力提高校内青少年科学教育质量。</w:t>
            </w:r>
          </w:p>
        </w:tc>
        <w:tc>
          <w:tcPr>
            <w:tcW w:w="1886" w:type="dxa"/>
            <w:vAlign w:val="center"/>
          </w:tcPr>
          <w:p>
            <w:pPr>
              <w:pStyle w:val="10"/>
              <w:spacing w:line="440" w:lineRule="exact"/>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市教育局</w:t>
            </w:r>
          </w:p>
        </w:tc>
        <w:tc>
          <w:tcPr>
            <w:tcW w:w="2551" w:type="dxa"/>
            <w:vAlign w:val="center"/>
          </w:tcPr>
          <w:p>
            <w:pPr>
              <w:pStyle w:val="10"/>
              <w:spacing w:line="440" w:lineRule="exact"/>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市科协、科技局</w:t>
            </w:r>
          </w:p>
        </w:tc>
        <w:tc>
          <w:tcPr>
            <w:tcW w:w="1602" w:type="dxa"/>
            <w:vAlign w:val="center"/>
          </w:tcPr>
          <w:p>
            <w:pPr>
              <w:pStyle w:val="10"/>
              <w:spacing w:line="440" w:lineRule="exact"/>
              <w:jc w:val="center"/>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jc w:val="center"/>
        </w:trPr>
        <w:tc>
          <w:tcPr>
            <w:tcW w:w="1630" w:type="dxa"/>
            <w:vMerge w:val="continue"/>
            <w:vAlign w:val="center"/>
          </w:tcPr>
          <w:p>
            <w:pPr>
              <w:pStyle w:val="10"/>
              <w:spacing w:line="440" w:lineRule="exact"/>
              <w:jc w:val="center"/>
              <w:rPr>
                <w:rFonts w:ascii="仿宋_GB2312" w:hAnsi="Calibri" w:eastAsia="仿宋_GB2312"/>
                <w:b/>
                <w:color w:val="000000" w:themeColor="text1"/>
                <w:sz w:val="24"/>
              </w:rPr>
            </w:pPr>
          </w:p>
        </w:tc>
        <w:tc>
          <w:tcPr>
            <w:tcW w:w="5235" w:type="dxa"/>
            <w:vAlign w:val="center"/>
          </w:tcPr>
          <w:p>
            <w:pPr>
              <w:pStyle w:val="10"/>
              <w:widowControl w:val="0"/>
              <w:spacing w:line="440" w:lineRule="exact"/>
              <w:ind w:firstLine="480" w:firstLineChars="200"/>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2.广泛开展校外、课外科学教育活动。开展市青少年科技创新市长奖评选表彰、青少年科技节、快乐科普校园行、红领巾科技小社团等青少年科普品牌活动，办好青少年科技创新大赛、</w:t>
            </w:r>
            <w:r>
              <w:rPr>
                <w:rFonts w:hint="eastAsia" w:ascii="仿宋_GB2312" w:hAnsi="Calibri" w:eastAsia="仿宋_GB2312"/>
                <w:color w:val="000000" w:themeColor="text1"/>
                <w:sz w:val="24"/>
                <w:lang w:val="zh-CN"/>
              </w:rPr>
              <w:t>科学素质竞赛、</w:t>
            </w:r>
            <w:r>
              <w:rPr>
                <w:rFonts w:hint="eastAsia" w:ascii="仿宋_GB2312" w:hAnsi="Calibri" w:eastAsia="仿宋_GB2312"/>
                <w:color w:val="000000" w:themeColor="text1"/>
                <w:sz w:val="24"/>
              </w:rPr>
              <w:t>机器人竞赛等科技竞赛，开展青少年创客、青少年走进科普教育基地、科技体验日等科普实践活动。</w:t>
            </w:r>
          </w:p>
        </w:tc>
        <w:tc>
          <w:tcPr>
            <w:tcW w:w="1886" w:type="dxa"/>
            <w:vAlign w:val="center"/>
          </w:tcPr>
          <w:p>
            <w:pPr>
              <w:pStyle w:val="10"/>
              <w:spacing w:line="440" w:lineRule="exact"/>
              <w:rPr>
                <w:rFonts w:ascii="仿宋_GB2312" w:hAnsi="Calibri" w:eastAsia="仿宋_GB2312"/>
                <w:color w:val="000000" w:themeColor="text1"/>
                <w:sz w:val="24"/>
              </w:rPr>
            </w:pPr>
            <w:r>
              <w:rPr>
                <w:rFonts w:hint="eastAsia" w:ascii="仿宋_GB2312" w:hAnsi="Calibri" w:eastAsia="仿宋_GB2312"/>
                <w:color w:val="000000" w:themeColor="text1"/>
                <w:sz w:val="24"/>
              </w:rPr>
              <w:t>市教育局、科协、科技局</w:t>
            </w:r>
          </w:p>
          <w:p>
            <w:pPr>
              <w:pStyle w:val="10"/>
              <w:spacing w:line="440" w:lineRule="exact"/>
              <w:rPr>
                <w:rFonts w:ascii="仿宋_GB2312" w:hAnsi="Calibri" w:eastAsia="仿宋_GB2312" w:cs="Times New Roman"/>
                <w:color w:val="000000" w:themeColor="text1"/>
                <w:sz w:val="24"/>
                <w:szCs w:val="24"/>
              </w:rPr>
            </w:pPr>
          </w:p>
        </w:tc>
        <w:tc>
          <w:tcPr>
            <w:tcW w:w="2551" w:type="dxa"/>
            <w:vAlign w:val="center"/>
          </w:tcPr>
          <w:p>
            <w:pPr>
              <w:pStyle w:val="10"/>
              <w:spacing w:line="440" w:lineRule="exact"/>
              <w:rPr>
                <w:rFonts w:ascii="仿宋_GB2312" w:hAnsi="Calibri" w:eastAsia="仿宋_GB2312" w:cs="Times New Roman"/>
                <w:color w:val="000000" w:themeColor="text1"/>
                <w:spacing w:val="-10"/>
                <w:sz w:val="24"/>
                <w:szCs w:val="24"/>
              </w:rPr>
            </w:pPr>
            <w:r>
              <w:rPr>
                <w:rFonts w:hint="eastAsia" w:ascii="仿宋_GB2312" w:hAnsi="Calibri" w:eastAsia="仿宋_GB2312"/>
                <w:color w:val="000000" w:themeColor="text1"/>
                <w:spacing w:val="-10"/>
                <w:sz w:val="24"/>
              </w:rPr>
              <w:t>市委宣传部、卫生健康委、</w:t>
            </w:r>
            <w:r>
              <w:rPr>
                <w:rFonts w:hint="eastAsia" w:ascii="Calibri" w:hAnsi="Calibri" w:eastAsia="仿宋_GB2312"/>
                <w:color w:val="000000" w:themeColor="text1"/>
                <w:sz w:val="24"/>
              </w:rPr>
              <w:t>文化广电旅游局</w:t>
            </w:r>
            <w:r>
              <w:rPr>
                <w:rFonts w:hint="eastAsia" w:ascii="仿宋_GB2312" w:hAnsi="Calibri" w:eastAsia="仿宋_GB2312"/>
                <w:color w:val="000000" w:themeColor="text1"/>
                <w:spacing w:val="-10"/>
                <w:sz w:val="24"/>
              </w:rPr>
              <w:t>、应急局、气象局、团市委等</w:t>
            </w:r>
          </w:p>
        </w:tc>
        <w:tc>
          <w:tcPr>
            <w:tcW w:w="1602" w:type="dxa"/>
            <w:vAlign w:val="center"/>
          </w:tcPr>
          <w:p>
            <w:pPr>
              <w:pStyle w:val="10"/>
              <w:spacing w:line="440" w:lineRule="exact"/>
              <w:jc w:val="center"/>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1630" w:type="dxa"/>
            <w:vMerge w:val="continue"/>
            <w:vAlign w:val="center"/>
          </w:tcPr>
          <w:p>
            <w:pPr>
              <w:pStyle w:val="10"/>
              <w:spacing w:line="440" w:lineRule="exact"/>
              <w:jc w:val="center"/>
              <w:rPr>
                <w:rFonts w:ascii="仿宋_GB2312" w:hAnsi="Calibri" w:eastAsia="仿宋_GB2312"/>
                <w:b/>
                <w:color w:val="000000" w:themeColor="text1"/>
                <w:sz w:val="24"/>
              </w:rPr>
            </w:pPr>
          </w:p>
        </w:tc>
        <w:tc>
          <w:tcPr>
            <w:tcW w:w="5235" w:type="dxa"/>
            <w:vAlign w:val="center"/>
          </w:tcPr>
          <w:p>
            <w:pPr>
              <w:pStyle w:val="10"/>
              <w:spacing w:line="440" w:lineRule="exact"/>
              <w:ind w:firstLine="480" w:firstLineChars="200"/>
              <w:rPr>
                <w:rFonts w:ascii="仿宋_GB2312" w:hAnsi="Calibri" w:eastAsia="仿宋_GB2312"/>
                <w:color w:val="000000" w:themeColor="text1"/>
                <w:sz w:val="24"/>
              </w:rPr>
            </w:pPr>
            <w:r>
              <w:rPr>
                <w:rFonts w:hint="eastAsia" w:ascii="仿宋_GB2312" w:hAnsi="Calibri" w:eastAsia="仿宋_GB2312"/>
                <w:color w:val="000000" w:themeColor="text1"/>
                <w:sz w:val="24"/>
              </w:rPr>
              <w:t>3.以品牌活动为引领，充分整合社会科普资源。深入开展科技馆进校园、科普大篷车进校园等活动,充分发挥科技馆、青少年宫、科技博物馆、妇女儿童活动中心等各类科技场馆及科普教育基地等资源作用,开展科技学习和实践活动，搭建青少年科技创新活动平台。</w:t>
            </w:r>
          </w:p>
          <w:p>
            <w:pPr>
              <w:pStyle w:val="10"/>
              <w:spacing w:line="440" w:lineRule="exact"/>
              <w:ind w:firstLine="480" w:firstLineChars="200"/>
              <w:rPr>
                <w:rFonts w:ascii="仿宋_GB2312" w:hAnsi="Calibri" w:eastAsia="仿宋_GB2312" w:cs="Times New Roman"/>
                <w:color w:val="000000" w:themeColor="text1"/>
                <w:sz w:val="24"/>
                <w:szCs w:val="24"/>
              </w:rPr>
            </w:pPr>
          </w:p>
        </w:tc>
        <w:tc>
          <w:tcPr>
            <w:tcW w:w="1886" w:type="dxa"/>
            <w:vAlign w:val="center"/>
          </w:tcPr>
          <w:p>
            <w:pPr>
              <w:pStyle w:val="10"/>
              <w:spacing w:line="440" w:lineRule="exact"/>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市教育局、科协</w:t>
            </w:r>
          </w:p>
        </w:tc>
        <w:tc>
          <w:tcPr>
            <w:tcW w:w="2551" w:type="dxa"/>
            <w:vAlign w:val="center"/>
          </w:tcPr>
          <w:p>
            <w:pPr>
              <w:pStyle w:val="10"/>
              <w:spacing w:line="440" w:lineRule="exact"/>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pacing w:val="-10"/>
                <w:sz w:val="24"/>
              </w:rPr>
              <w:t>市委宣传部、科技局、卫生健康委、</w:t>
            </w:r>
            <w:r>
              <w:rPr>
                <w:rFonts w:hint="eastAsia" w:ascii="Calibri" w:hAnsi="Calibri" w:eastAsia="仿宋_GB2312"/>
                <w:color w:val="000000" w:themeColor="text1"/>
                <w:sz w:val="24"/>
              </w:rPr>
              <w:t>文化广电旅游局</w:t>
            </w:r>
            <w:r>
              <w:rPr>
                <w:rFonts w:hint="eastAsia" w:ascii="仿宋_GB2312" w:hAnsi="Calibri" w:eastAsia="仿宋_GB2312"/>
                <w:color w:val="000000" w:themeColor="text1"/>
                <w:spacing w:val="-10"/>
                <w:sz w:val="24"/>
              </w:rPr>
              <w:t>、应急局、气象局、团市委等</w:t>
            </w:r>
          </w:p>
        </w:tc>
        <w:tc>
          <w:tcPr>
            <w:tcW w:w="1602" w:type="dxa"/>
            <w:vAlign w:val="center"/>
          </w:tcPr>
          <w:p>
            <w:pPr>
              <w:pStyle w:val="10"/>
              <w:spacing w:line="440" w:lineRule="exact"/>
              <w:jc w:val="center"/>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1630" w:type="dxa"/>
            <w:vAlign w:val="center"/>
          </w:tcPr>
          <w:p>
            <w:pPr>
              <w:pStyle w:val="10"/>
              <w:jc w:val="center"/>
              <w:rPr>
                <w:rFonts w:ascii="楷体_GB2312" w:hAnsi="Calibri" w:eastAsia="楷体_GB2312"/>
                <w:b/>
                <w:color w:val="000000" w:themeColor="text1"/>
                <w:sz w:val="24"/>
              </w:rPr>
            </w:pPr>
            <w:r>
              <w:rPr>
                <w:rFonts w:hint="eastAsia" w:ascii="楷体_GB2312" w:hAnsi="Calibri" w:eastAsia="楷体_GB2312"/>
                <w:b/>
                <w:color w:val="000000" w:themeColor="text1"/>
                <w:sz w:val="24"/>
              </w:rPr>
              <w:t>（二）实施少年强科普教育工程</w:t>
            </w:r>
          </w:p>
          <w:p>
            <w:pPr>
              <w:pStyle w:val="10"/>
              <w:jc w:val="center"/>
              <w:rPr>
                <w:rFonts w:ascii="仿宋_GB2312" w:hAnsi="Calibri" w:eastAsia="仿宋_GB2312"/>
                <w:b/>
                <w:color w:val="000000" w:themeColor="text1"/>
                <w:sz w:val="24"/>
              </w:rPr>
            </w:pPr>
          </w:p>
        </w:tc>
        <w:tc>
          <w:tcPr>
            <w:tcW w:w="5235" w:type="dxa"/>
            <w:vAlign w:val="center"/>
          </w:tcPr>
          <w:p>
            <w:pPr>
              <w:pStyle w:val="10"/>
              <w:widowControl w:val="0"/>
              <w:spacing w:line="440" w:lineRule="exact"/>
              <w:ind w:firstLine="480" w:firstLineChars="200"/>
              <w:rPr>
                <w:rFonts w:ascii="仿宋_GB2312" w:hAnsi="Calibri" w:eastAsia="仿宋_GB2312"/>
                <w:color w:val="000000" w:themeColor="text1"/>
                <w:sz w:val="32"/>
                <w:szCs w:val="32"/>
              </w:rPr>
            </w:pPr>
            <w:r>
              <w:rPr>
                <w:rFonts w:hint="eastAsia" w:ascii="仿宋_GB2312" w:hAnsi="Calibri" w:eastAsia="仿宋_GB2312"/>
                <w:color w:val="000000" w:themeColor="text1"/>
                <w:sz w:val="24"/>
              </w:rPr>
              <w:t>4.指导开展好家庭科普教育工作。丰富家庭教育内容，形成家校共育的良好局面。提高农村中小学科学教育质量，加大农村学校科技辅导员培训力度，重点面向农村留守儿童开展科技辅导、心理疏导、安全健康等方面的志愿服务。</w:t>
            </w:r>
          </w:p>
          <w:p>
            <w:pPr>
              <w:pStyle w:val="10"/>
              <w:widowControl w:val="0"/>
              <w:spacing w:line="440" w:lineRule="exact"/>
              <w:ind w:firstLine="480" w:firstLineChars="200"/>
              <w:rPr>
                <w:rFonts w:ascii="仿宋_GB2312" w:hAnsi="Calibri" w:eastAsia="仿宋_GB2312" w:cs="Times New Roman"/>
                <w:color w:val="000000" w:themeColor="text1"/>
                <w:sz w:val="24"/>
                <w:szCs w:val="24"/>
              </w:rPr>
            </w:pPr>
          </w:p>
        </w:tc>
        <w:tc>
          <w:tcPr>
            <w:tcW w:w="1886" w:type="dxa"/>
            <w:vAlign w:val="center"/>
          </w:tcPr>
          <w:p>
            <w:pPr>
              <w:pStyle w:val="10"/>
              <w:widowControl w:val="0"/>
              <w:spacing w:line="440" w:lineRule="exact"/>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市教育局、妇联、科协</w:t>
            </w:r>
          </w:p>
        </w:tc>
        <w:tc>
          <w:tcPr>
            <w:tcW w:w="2551" w:type="dxa"/>
            <w:vAlign w:val="center"/>
          </w:tcPr>
          <w:p>
            <w:pPr>
              <w:pStyle w:val="10"/>
              <w:widowControl w:val="0"/>
              <w:spacing w:line="440" w:lineRule="exact"/>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市科技局、</w:t>
            </w:r>
            <w:r>
              <w:rPr>
                <w:rFonts w:hint="eastAsia" w:ascii="Calibri" w:hAnsi="Calibri" w:eastAsia="仿宋_GB2312"/>
                <w:color w:val="000000" w:themeColor="text1"/>
                <w:sz w:val="24"/>
              </w:rPr>
              <w:t>文化广电旅游局</w:t>
            </w:r>
            <w:r>
              <w:rPr>
                <w:rFonts w:hint="eastAsia" w:ascii="仿宋_GB2312" w:hAnsi="Calibri" w:eastAsia="仿宋_GB2312"/>
                <w:color w:val="000000" w:themeColor="text1"/>
                <w:sz w:val="24"/>
              </w:rPr>
              <w:t>、</w:t>
            </w:r>
            <w:r>
              <w:rPr>
                <w:rFonts w:hint="eastAsia" w:ascii="仿宋_GB2312" w:hAnsi="Calibri" w:eastAsia="仿宋_GB2312"/>
                <w:color w:val="000000" w:themeColor="text1"/>
                <w:spacing w:val="-10"/>
                <w:sz w:val="24"/>
              </w:rPr>
              <w:t>卫生健康委、</w:t>
            </w:r>
            <w:r>
              <w:rPr>
                <w:rFonts w:hint="eastAsia" w:ascii="仿宋_GB2312" w:hAnsi="Calibri" w:eastAsia="仿宋_GB2312"/>
                <w:color w:val="000000" w:themeColor="text1"/>
                <w:sz w:val="24"/>
              </w:rPr>
              <w:t>应急局、气象局、团市委、关工委等</w:t>
            </w:r>
          </w:p>
        </w:tc>
        <w:tc>
          <w:tcPr>
            <w:tcW w:w="1602" w:type="dxa"/>
            <w:vAlign w:val="center"/>
          </w:tcPr>
          <w:p>
            <w:pPr>
              <w:pStyle w:val="10"/>
              <w:widowControl w:val="0"/>
              <w:spacing w:line="440" w:lineRule="exact"/>
              <w:jc w:val="center"/>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1630" w:type="dxa"/>
            <w:vMerge w:val="restart"/>
            <w:vAlign w:val="center"/>
          </w:tcPr>
          <w:p>
            <w:pPr>
              <w:pStyle w:val="10"/>
              <w:jc w:val="center"/>
              <w:rPr>
                <w:rFonts w:ascii="楷体_GB2312" w:hAnsi="Calibri" w:eastAsia="楷体_GB2312"/>
                <w:b/>
                <w:color w:val="000000" w:themeColor="text1"/>
                <w:sz w:val="24"/>
              </w:rPr>
            </w:pPr>
            <w:r>
              <w:rPr>
                <w:rFonts w:hint="eastAsia" w:ascii="楷体_GB2312" w:hAnsi="Calibri" w:eastAsia="楷体_GB2312"/>
                <w:b/>
                <w:color w:val="000000" w:themeColor="text1"/>
                <w:sz w:val="24"/>
              </w:rPr>
              <w:t>（三）实施乡村振兴农民科学素质提升工程</w:t>
            </w:r>
          </w:p>
          <w:p>
            <w:pPr>
              <w:pStyle w:val="10"/>
              <w:spacing w:line="440" w:lineRule="exact"/>
              <w:jc w:val="center"/>
              <w:rPr>
                <w:rFonts w:ascii="仿宋_GB2312" w:hAnsi="Calibri" w:eastAsia="仿宋_GB2312"/>
                <w:b/>
                <w:color w:val="000000" w:themeColor="text1"/>
                <w:sz w:val="24"/>
              </w:rPr>
            </w:pPr>
          </w:p>
        </w:tc>
        <w:tc>
          <w:tcPr>
            <w:tcW w:w="5235" w:type="dxa"/>
            <w:vAlign w:val="center"/>
          </w:tcPr>
          <w:p>
            <w:pPr>
              <w:pStyle w:val="10"/>
              <w:spacing w:line="440" w:lineRule="exact"/>
              <w:ind w:firstLine="480" w:firstLineChars="200"/>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1.大力开展农业科技教育培训。结合国家精准扶贫战略方针，引导广大科技工作者下沉基层、开展新型职业农民和农村实用人才培训。</w:t>
            </w:r>
          </w:p>
        </w:tc>
        <w:tc>
          <w:tcPr>
            <w:tcW w:w="1886" w:type="dxa"/>
            <w:vAlign w:val="center"/>
          </w:tcPr>
          <w:p>
            <w:pPr>
              <w:pStyle w:val="10"/>
              <w:spacing w:line="440" w:lineRule="exact"/>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市农业农村局</w:t>
            </w:r>
          </w:p>
        </w:tc>
        <w:tc>
          <w:tcPr>
            <w:tcW w:w="2551" w:type="dxa"/>
            <w:vAlign w:val="center"/>
          </w:tcPr>
          <w:p>
            <w:pPr>
              <w:pStyle w:val="10"/>
              <w:spacing w:line="440" w:lineRule="exact"/>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市教育局、科技局、团市委、妇联、科协等</w:t>
            </w:r>
          </w:p>
        </w:tc>
        <w:tc>
          <w:tcPr>
            <w:tcW w:w="1602" w:type="dxa"/>
            <w:vAlign w:val="center"/>
          </w:tcPr>
          <w:p>
            <w:pPr>
              <w:pStyle w:val="10"/>
              <w:spacing w:line="440" w:lineRule="exact"/>
              <w:jc w:val="center"/>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1630" w:type="dxa"/>
            <w:vMerge w:val="continue"/>
            <w:vAlign w:val="center"/>
          </w:tcPr>
          <w:p>
            <w:pPr>
              <w:pStyle w:val="10"/>
              <w:spacing w:line="440" w:lineRule="exact"/>
              <w:jc w:val="center"/>
              <w:rPr>
                <w:rFonts w:ascii="仿宋_GB2312" w:hAnsi="Calibri" w:eastAsia="仿宋_GB2312"/>
                <w:b/>
                <w:color w:val="000000" w:themeColor="text1"/>
                <w:sz w:val="24"/>
              </w:rPr>
            </w:pPr>
          </w:p>
        </w:tc>
        <w:tc>
          <w:tcPr>
            <w:tcW w:w="5235" w:type="dxa"/>
            <w:vAlign w:val="center"/>
          </w:tcPr>
          <w:p>
            <w:pPr>
              <w:pStyle w:val="10"/>
              <w:spacing w:line="440" w:lineRule="exact"/>
              <w:ind w:firstLine="480" w:firstLineChars="200"/>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2.广泛开展形式多样的农村科普活动。开展文化科技卫生“三下乡”、科普惠农成果交流等各类科普活动，深入实施“基层科普行动计划”“广西科普惠农兴村计划”。</w:t>
            </w:r>
          </w:p>
        </w:tc>
        <w:tc>
          <w:tcPr>
            <w:tcW w:w="1886" w:type="dxa"/>
            <w:vAlign w:val="center"/>
          </w:tcPr>
          <w:p>
            <w:pPr>
              <w:pStyle w:val="10"/>
              <w:spacing w:line="440" w:lineRule="exact"/>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市委宣传部、科协、财政局、农业农村局</w:t>
            </w:r>
          </w:p>
        </w:tc>
        <w:tc>
          <w:tcPr>
            <w:tcW w:w="2551" w:type="dxa"/>
            <w:vAlign w:val="center"/>
          </w:tcPr>
          <w:p>
            <w:pPr>
              <w:pStyle w:val="10"/>
              <w:spacing w:line="440" w:lineRule="exact"/>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市教育局、民政局、林业局、民宗委、</w:t>
            </w:r>
            <w:r>
              <w:rPr>
                <w:rFonts w:hint="eastAsia" w:ascii="Calibri" w:hAnsi="Calibri" w:eastAsia="仿宋_GB2312"/>
                <w:color w:val="000000" w:themeColor="text1"/>
                <w:sz w:val="24"/>
              </w:rPr>
              <w:t>文化广电旅游局</w:t>
            </w:r>
            <w:r>
              <w:rPr>
                <w:rFonts w:hint="eastAsia" w:ascii="仿宋_GB2312" w:hAnsi="Calibri" w:eastAsia="仿宋_GB2312"/>
                <w:color w:val="000000" w:themeColor="text1"/>
                <w:sz w:val="24"/>
              </w:rPr>
              <w:t>、卫生健康委、应急局、生态环境局、气象局、妇联、团市委等</w:t>
            </w:r>
          </w:p>
        </w:tc>
        <w:tc>
          <w:tcPr>
            <w:tcW w:w="1602" w:type="dxa"/>
            <w:vAlign w:val="center"/>
          </w:tcPr>
          <w:p>
            <w:pPr>
              <w:pStyle w:val="10"/>
              <w:spacing w:line="440" w:lineRule="exact"/>
              <w:jc w:val="center"/>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1630" w:type="dxa"/>
            <w:vAlign w:val="center"/>
          </w:tcPr>
          <w:p>
            <w:pPr>
              <w:pStyle w:val="10"/>
              <w:jc w:val="center"/>
              <w:rPr>
                <w:rFonts w:ascii="仿宋_GB2312" w:hAnsi="Calibri" w:eastAsia="仿宋_GB2312"/>
                <w:b/>
                <w:color w:val="000000" w:themeColor="text1"/>
                <w:sz w:val="24"/>
              </w:rPr>
            </w:pPr>
            <w:r>
              <w:rPr>
                <w:rFonts w:hint="eastAsia" w:ascii="楷体_GB2312" w:hAnsi="Calibri" w:eastAsia="楷体_GB2312"/>
                <w:b/>
                <w:color w:val="000000" w:themeColor="text1"/>
                <w:sz w:val="24"/>
              </w:rPr>
              <w:t>（三）实施乡村振兴农民科学素质提升工程</w:t>
            </w:r>
          </w:p>
        </w:tc>
        <w:tc>
          <w:tcPr>
            <w:tcW w:w="5235" w:type="dxa"/>
            <w:vAlign w:val="center"/>
          </w:tcPr>
          <w:p>
            <w:pPr>
              <w:pStyle w:val="10"/>
              <w:spacing w:line="440" w:lineRule="exact"/>
              <w:ind w:firstLine="480" w:firstLineChars="200"/>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3.加强农村科普公共服务建设。搭建、完善农民科学素质提升信息平台，发挥网络平台及新媒体的作用，开展科普文化进乡村工作。</w:t>
            </w:r>
          </w:p>
        </w:tc>
        <w:tc>
          <w:tcPr>
            <w:tcW w:w="1886" w:type="dxa"/>
            <w:vAlign w:val="center"/>
          </w:tcPr>
          <w:p>
            <w:pPr>
              <w:pStyle w:val="10"/>
              <w:spacing w:line="440" w:lineRule="exact"/>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市农业农村局、科协</w:t>
            </w:r>
          </w:p>
        </w:tc>
        <w:tc>
          <w:tcPr>
            <w:tcW w:w="2551" w:type="dxa"/>
            <w:vAlign w:val="center"/>
          </w:tcPr>
          <w:p>
            <w:pPr>
              <w:pStyle w:val="10"/>
              <w:spacing w:line="440" w:lineRule="exact"/>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市民政局、科技局、民宗委、</w:t>
            </w:r>
            <w:r>
              <w:rPr>
                <w:rFonts w:hint="eastAsia" w:ascii="Calibri" w:hAnsi="Calibri" w:eastAsia="仿宋_GB2312"/>
                <w:color w:val="000000" w:themeColor="text1"/>
                <w:sz w:val="24"/>
              </w:rPr>
              <w:t>文化广电旅游局</w:t>
            </w:r>
            <w:r>
              <w:rPr>
                <w:rFonts w:hint="eastAsia" w:ascii="仿宋_GB2312" w:hAnsi="Calibri" w:eastAsia="仿宋_GB2312"/>
                <w:color w:val="000000" w:themeColor="text1"/>
                <w:sz w:val="24"/>
              </w:rPr>
              <w:t>、卫生健康委、生态环境局、气象局等</w:t>
            </w:r>
          </w:p>
        </w:tc>
        <w:tc>
          <w:tcPr>
            <w:tcW w:w="1602" w:type="dxa"/>
            <w:vAlign w:val="center"/>
          </w:tcPr>
          <w:p>
            <w:pPr>
              <w:pStyle w:val="10"/>
              <w:spacing w:line="440" w:lineRule="exact"/>
              <w:jc w:val="center"/>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1630" w:type="dxa"/>
            <w:vMerge w:val="restart"/>
            <w:vAlign w:val="center"/>
          </w:tcPr>
          <w:p>
            <w:pPr>
              <w:pStyle w:val="10"/>
              <w:spacing w:line="440" w:lineRule="exact"/>
              <w:jc w:val="center"/>
              <w:rPr>
                <w:rFonts w:ascii="仿宋_GB2312" w:hAnsi="Calibri" w:eastAsia="仿宋_GB2312"/>
                <w:b/>
                <w:color w:val="000000" w:themeColor="text1"/>
                <w:sz w:val="24"/>
              </w:rPr>
            </w:pPr>
            <w:r>
              <w:rPr>
                <w:rFonts w:hint="eastAsia" w:ascii="楷体_GB2312" w:hAnsi="Calibri" w:eastAsia="楷体_GB2312"/>
                <w:b/>
                <w:color w:val="000000" w:themeColor="text1"/>
                <w:sz w:val="24"/>
              </w:rPr>
              <w:t>（四）实施城镇劳动者劳动技能与科学素质培训工程</w:t>
            </w:r>
          </w:p>
        </w:tc>
        <w:tc>
          <w:tcPr>
            <w:tcW w:w="5235" w:type="dxa"/>
            <w:vAlign w:val="center"/>
          </w:tcPr>
          <w:p>
            <w:pPr>
              <w:pStyle w:val="10"/>
              <w:spacing w:line="440" w:lineRule="exact"/>
              <w:ind w:firstLine="480" w:firstLineChars="200"/>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1.实施城镇劳动者职业技能培训计划。构建以企业为主体、各类培训机构积极参与、公办与民办共举的职业培训和技能人才培养体系，大规模开展高质量的职业技能培训及活动。</w:t>
            </w:r>
          </w:p>
        </w:tc>
        <w:tc>
          <w:tcPr>
            <w:tcW w:w="1886" w:type="dxa"/>
            <w:vAlign w:val="center"/>
          </w:tcPr>
          <w:p>
            <w:pPr>
              <w:pStyle w:val="10"/>
              <w:spacing w:line="440" w:lineRule="exact"/>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市人力资源社会保障局、工业和信息化局</w:t>
            </w:r>
          </w:p>
        </w:tc>
        <w:tc>
          <w:tcPr>
            <w:tcW w:w="2551" w:type="dxa"/>
            <w:vAlign w:val="center"/>
          </w:tcPr>
          <w:p>
            <w:pPr>
              <w:pStyle w:val="10"/>
              <w:spacing w:line="440" w:lineRule="exact"/>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市委宣传部、卫生健康委、应急局、市场监管局、总工会、妇联、科协、团市委等</w:t>
            </w:r>
          </w:p>
        </w:tc>
        <w:tc>
          <w:tcPr>
            <w:tcW w:w="1602" w:type="dxa"/>
            <w:vAlign w:val="center"/>
          </w:tcPr>
          <w:p>
            <w:pPr>
              <w:pStyle w:val="10"/>
              <w:spacing w:line="440" w:lineRule="exact"/>
              <w:jc w:val="center"/>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1630" w:type="dxa"/>
            <w:vMerge w:val="continue"/>
            <w:vAlign w:val="center"/>
          </w:tcPr>
          <w:p>
            <w:pPr>
              <w:pStyle w:val="10"/>
              <w:spacing w:line="440" w:lineRule="exact"/>
              <w:jc w:val="center"/>
              <w:rPr>
                <w:rFonts w:ascii="仿宋_GB2312" w:hAnsi="Calibri" w:eastAsia="仿宋_GB2312"/>
                <w:b/>
                <w:color w:val="000000" w:themeColor="text1"/>
                <w:sz w:val="24"/>
              </w:rPr>
            </w:pPr>
          </w:p>
        </w:tc>
        <w:tc>
          <w:tcPr>
            <w:tcW w:w="5235" w:type="dxa"/>
            <w:vAlign w:val="center"/>
          </w:tcPr>
          <w:p>
            <w:pPr>
              <w:pStyle w:val="10"/>
              <w:spacing w:line="440" w:lineRule="exact"/>
              <w:ind w:firstLine="480" w:firstLineChars="200"/>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2.提高进城务工人员稳定就业和科学生活能力。组织开展进城务工人员专题培训，将绿色发展、安全生产、健康生活、心理疏导、防灾减灾等作为培训的主要内容，增强其就业、工作、职业转换能力以及参与社会生活和维护自身权益的能力。</w:t>
            </w:r>
          </w:p>
        </w:tc>
        <w:tc>
          <w:tcPr>
            <w:tcW w:w="1886" w:type="dxa"/>
            <w:vAlign w:val="center"/>
          </w:tcPr>
          <w:p>
            <w:pPr>
              <w:pStyle w:val="10"/>
              <w:spacing w:line="440" w:lineRule="exact"/>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市人力资源社会保障局、工业和信息化局</w:t>
            </w:r>
          </w:p>
        </w:tc>
        <w:tc>
          <w:tcPr>
            <w:tcW w:w="2551" w:type="dxa"/>
            <w:vAlign w:val="center"/>
          </w:tcPr>
          <w:p>
            <w:pPr>
              <w:pStyle w:val="10"/>
              <w:spacing w:line="440" w:lineRule="exact"/>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市委宣传部、卫生健康委、应急局、市场监管局、总工会、妇联、科协、团市委等</w:t>
            </w:r>
          </w:p>
        </w:tc>
        <w:tc>
          <w:tcPr>
            <w:tcW w:w="1602" w:type="dxa"/>
            <w:vAlign w:val="center"/>
          </w:tcPr>
          <w:p>
            <w:pPr>
              <w:pStyle w:val="10"/>
              <w:spacing w:line="440" w:lineRule="exact"/>
              <w:jc w:val="center"/>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1630" w:type="dxa"/>
            <w:vAlign w:val="center"/>
          </w:tcPr>
          <w:p>
            <w:pPr>
              <w:pStyle w:val="10"/>
              <w:spacing w:line="440" w:lineRule="exact"/>
              <w:jc w:val="center"/>
              <w:rPr>
                <w:rFonts w:ascii="仿宋_GB2312" w:hAnsi="Calibri" w:eastAsia="仿宋_GB2312"/>
                <w:b/>
                <w:color w:val="000000" w:themeColor="text1"/>
                <w:sz w:val="24"/>
              </w:rPr>
            </w:pPr>
            <w:r>
              <w:rPr>
                <w:rFonts w:hint="eastAsia" w:ascii="楷体_GB2312" w:hAnsi="Calibri" w:eastAsia="楷体_GB2312"/>
                <w:b/>
                <w:color w:val="000000" w:themeColor="text1"/>
                <w:sz w:val="24"/>
              </w:rPr>
              <w:t>（四）实施城镇劳动者劳动技能与科学素质培训工程</w:t>
            </w:r>
          </w:p>
        </w:tc>
        <w:tc>
          <w:tcPr>
            <w:tcW w:w="5235" w:type="dxa"/>
            <w:vAlign w:val="center"/>
          </w:tcPr>
          <w:p>
            <w:pPr>
              <w:pStyle w:val="10"/>
              <w:spacing w:line="440" w:lineRule="exact"/>
              <w:ind w:firstLine="480" w:firstLineChars="200"/>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3.大力营造崇尚创新创造的社会氛围。深入开展职工大献策、大练兵、大竞赛活动，开展青年岗位能手、巾帼建功和职业技能竞赛，激发职工创新创造活力；开展“城市科普行”“科普大讲堂”等科普进社区活动，引导社区居民养成健康、安全的生活方式。</w:t>
            </w:r>
          </w:p>
        </w:tc>
        <w:tc>
          <w:tcPr>
            <w:tcW w:w="1886" w:type="dxa"/>
            <w:vAlign w:val="center"/>
          </w:tcPr>
          <w:p>
            <w:pPr>
              <w:pStyle w:val="10"/>
              <w:spacing w:line="440" w:lineRule="exact"/>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市人力资源社会保障局、工业和信息化局、科协</w:t>
            </w:r>
          </w:p>
        </w:tc>
        <w:tc>
          <w:tcPr>
            <w:tcW w:w="2551" w:type="dxa"/>
            <w:vAlign w:val="center"/>
          </w:tcPr>
          <w:p>
            <w:pPr>
              <w:pStyle w:val="10"/>
              <w:spacing w:line="440" w:lineRule="exact"/>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市委宣传部、卫生健康委、应急局、市场监管局、总工会、妇联、团市委等</w:t>
            </w:r>
          </w:p>
        </w:tc>
        <w:tc>
          <w:tcPr>
            <w:tcW w:w="1602" w:type="dxa"/>
            <w:vAlign w:val="center"/>
          </w:tcPr>
          <w:p>
            <w:pPr>
              <w:pStyle w:val="10"/>
              <w:spacing w:line="440" w:lineRule="exact"/>
              <w:jc w:val="center"/>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1630" w:type="dxa"/>
            <w:vMerge w:val="restart"/>
            <w:vAlign w:val="center"/>
          </w:tcPr>
          <w:p>
            <w:pPr>
              <w:pStyle w:val="10"/>
              <w:jc w:val="center"/>
              <w:rPr>
                <w:rFonts w:ascii="楷体_GB2312" w:hAnsi="Calibri" w:eastAsia="楷体_GB2312"/>
                <w:b/>
                <w:color w:val="000000" w:themeColor="text1"/>
                <w:sz w:val="24"/>
              </w:rPr>
            </w:pPr>
            <w:r>
              <w:rPr>
                <w:rFonts w:hint="eastAsia" w:ascii="楷体_GB2312" w:hAnsi="Calibri" w:eastAsia="楷体_GB2312"/>
                <w:b/>
                <w:color w:val="000000" w:themeColor="text1"/>
                <w:sz w:val="24"/>
              </w:rPr>
              <w:t>（五）实施</w:t>
            </w:r>
          </w:p>
          <w:p>
            <w:pPr>
              <w:pStyle w:val="10"/>
              <w:jc w:val="center"/>
              <w:rPr>
                <w:rFonts w:ascii="楷体_GB2312" w:hAnsi="Calibri" w:eastAsia="楷体_GB2312"/>
                <w:b/>
                <w:color w:val="000000" w:themeColor="text1"/>
                <w:sz w:val="24"/>
              </w:rPr>
            </w:pPr>
            <w:r>
              <w:rPr>
                <w:rFonts w:hint="eastAsia" w:ascii="楷体_GB2312" w:hAnsi="Calibri" w:eastAsia="楷体_GB2312"/>
                <w:b/>
                <w:color w:val="000000" w:themeColor="text1"/>
                <w:sz w:val="24"/>
              </w:rPr>
              <w:t>公务人员科学素质表率</w:t>
            </w:r>
          </w:p>
          <w:p>
            <w:pPr>
              <w:pStyle w:val="10"/>
              <w:jc w:val="center"/>
              <w:rPr>
                <w:rFonts w:ascii="楷体_GB2312" w:hAnsi="Calibri" w:eastAsia="楷体_GB2312" w:cs="Times New Roman"/>
                <w:b/>
                <w:color w:val="000000" w:themeColor="text1"/>
                <w:sz w:val="24"/>
                <w:szCs w:val="24"/>
              </w:rPr>
            </w:pPr>
            <w:r>
              <w:rPr>
                <w:rFonts w:hint="eastAsia" w:ascii="楷体_GB2312" w:hAnsi="Calibri" w:eastAsia="楷体_GB2312"/>
                <w:b/>
                <w:color w:val="000000" w:themeColor="text1"/>
                <w:sz w:val="24"/>
              </w:rPr>
              <w:t>工程</w:t>
            </w:r>
          </w:p>
        </w:tc>
        <w:tc>
          <w:tcPr>
            <w:tcW w:w="5235" w:type="dxa"/>
            <w:vAlign w:val="center"/>
          </w:tcPr>
          <w:p>
            <w:pPr>
              <w:pStyle w:val="10"/>
              <w:spacing w:line="440" w:lineRule="exact"/>
              <w:ind w:firstLine="480" w:firstLineChars="200"/>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1.强化统筹规划。把科学素质教育作为领导干部和公务员教育培训的长期任务，列入各级各类干部教育培训机构的教育规划和教学计划，加强干部科学方法、科学思想和科学精神培育。</w:t>
            </w:r>
          </w:p>
        </w:tc>
        <w:tc>
          <w:tcPr>
            <w:tcW w:w="1886" w:type="dxa"/>
            <w:vAlign w:val="center"/>
          </w:tcPr>
          <w:p>
            <w:pPr>
              <w:pStyle w:val="10"/>
              <w:spacing w:line="440" w:lineRule="exact"/>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市委组织部</w:t>
            </w:r>
          </w:p>
        </w:tc>
        <w:tc>
          <w:tcPr>
            <w:tcW w:w="2551" w:type="dxa"/>
            <w:vAlign w:val="center"/>
          </w:tcPr>
          <w:p>
            <w:pPr>
              <w:pStyle w:val="10"/>
              <w:spacing w:line="440" w:lineRule="exact"/>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市人力资源社会保障局</w:t>
            </w:r>
            <w:r>
              <w:rPr>
                <w:rFonts w:hint="eastAsia" w:ascii="仿宋_GB2312" w:hAnsi="仿宋_GB2312" w:eastAsia="仿宋_GB2312" w:cs="仿宋_GB2312"/>
                <w:color w:val="000000" w:themeColor="text1"/>
                <w:sz w:val="24"/>
                <w:szCs w:val="24"/>
              </w:rPr>
              <w:t>、</w:t>
            </w:r>
            <w:r>
              <w:rPr>
                <w:rFonts w:hint="eastAsia" w:ascii="仿宋_GB2312" w:hAnsi="仿宋_GB2312" w:eastAsia="仿宋_GB2312" w:cs="仿宋_GB2312"/>
                <w:sz w:val="24"/>
                <w:szCs w:val="24"/>
              </w:rPr>
              <w:t>市委党校、</w:t>
            </w:r>
            <w:r>
              <w:rPr>
                <w:rFonts w:hint="eastAsia" w:ascii="仿宋_GB2312" w:hAnsi="Calibri" w:eastAsia="仿宋_GB2312"/>
                <w:color w:val="000000" w:themeColor="text1"/>
                <w:sz w:val="24"/>
              </w:rPr>
              <w:t>科技局、科协等</w:t>
            </w:r>
          </w:p>
        </w:tc>
        <w:tc>
          <w:tcPr>
            <w:tcW w:w="1602" w:type="dxa"/>
            <w:vAlign w:val="center"/>
          </w:tcPr>
          <w:p>
            <w:pPr>
              <w:pStyle w:val="10"/>
              <w:spacing w:line="440" w:lineRule="exact"/>
              <w:jc w:val="center"/>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630" w:type="dxa"/>
            <w:vMerge w:val="continue"/>
            <w:vAlign w:val="center"/>
          </w:tcPr>
          <w:p>
            <w:pPr>
              <w:pStyle w:val="10"/>
              <w:jc w:val="center"/>
              <w:rPr>
                <w:rFonts w:ascii="仿宋_GB2312" w:hAnsi="Calibri" w:eastAsia="仿宋_GB2312"/>
                <w:b/>
                <w:color w:val="000000" w:themeColor="text1"/>
                <w:sz w:val="24"/>
              </w:rPr>
            </w:pPr>
          </w:p>
        </w:tc>
        <w:tc>
          <w:tcPr>
            <w:tcW w:w="5235" w:type="dxa"/>
            <w:vAlign w:val="center"/>
          </w:tcPr>
          <w:p>
            <w:pPr>
              <w:pStyle w:val="10"/>
              <w:spacing w:line="440" w:lineRule="exact"/>
              <w:ind w:firstLine="480" w:firstLineChars="200"/>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2.开展科普进机关、进党校活动，拓展和丰富各级领导干部的科技视野。</w:t>
            </w:r>
          </w:p>
        </w:tc>
        <w:tc>
          <w:tcPr>
            <w:tcW w:w="1886" w:type="dxa"/>
            <w:vAlign w:val="center"/>
          </w:tcPr>
          <w:p>
            <w:pPr>
              <w:pStyle w:val="10"/>
              <w:spacing w:line="440" w:lineRule="exact"/>
              <w:rPr>
                <w:rFonts w:ascii="仿宋_GB2312" w:hAnsi="Calibri" w:eastAsia="仿宋_GB2312" w:cs="Times New Roman"/>
                <w:color w:val="000000" w:themeColor="text1"/>
                <w:spacing w:val="-10"/>
                <w:sz w:val="24"/>
                <w:szCs w:val="24"/>
              </w:rPr>
            </w:pPr>
            <w:r>
              <w:rPr>
                <w:rFonts w:hint="eastAsia" w:ascii="仿宋_GB2312" w:hAnsi="Calibri" w:eastAsia="仿宋_GB2312"/>
                <w:color w:val="000000" w:themeColor="text1"/>
                <w:spacing w:val="-10"/>
                <w:sz w:val="24"/>
              </w:rPr>
              <w:t>市委组织部、</w:t>
            </w:r>
            <w:r>
              <w:rPr>
                <w:rFonts w:hint="eastAsia" w:ascii="仿宋_GB2312" w:hAnsi="Calibri" w:eastAsia="仿宋_GB2312"/>
                <w:color w:val="000000" w:themeColor="text1"/>
                <w:sz w:val="24"/>
              </w:rPr>
              <w:t>人力资源社会保障局</w:t>
            </w:r>
          </w:p>
        </w:tc>
        <w:tc>
          <w:tcPr>
            <w:tcW w:w="2551" w:type="dxa"/>
            <w:vAlign w:val="center"/>
          </w:tcPr>
          <w:p>
            <w:pPr>
              <w:pStyle w:val="10"/>
              <w:spacing w:line="440" w:lineRule="exact"/>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科技局、科协等</w:t>
            </w:r>
          </w:p>
        </w:tc>
        <w:tc>
          <w:tcPr>
            <w:tcW w:w="1602" w:type="dxa"/>
            <w:vAlign w:val="center"/>
          </w:tcPr>
          <w:p>
            <w:pPr>
              <w:pStyle w:val="10"/>
              <w:spacing w:line="440" w:lineRule="exact"/>
              <w:jc w:val="center"/>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30" w:type="dxa"/>
            <w:vMerge w:val="continue"/>
            <w:vAlign w:val="center"/>
          </w:tcPr>
          <w:p>
            <w:pPr>
              <w:pStyle w:val="10"/>
              <w:jc w:val="center"/>
              <w:rPr>
                <w:rFonts w:ascii="楷体_GB2312" w:hAnsi="Calibri" w:eastAsia="楷体_GB2312"/>
                <w:color w:val="000000" w:themeColor="text1"/>
                <w:sz w:val="24"/>
              </w:rPr>
            </w:pPr>
          </w:p>
        </w:tc>
        <w:tc>
          <w:tcPr>
            <w:tcW w:w="5235" w:type="dxa"/>
            <w:vAlign w:val="center"/>
          </w:tcPr>
          <w:p>
            <w:pPr>
              <w:pStyle w:val="10"/>
              <w:spacing w:line="440" w:lineRule="exact"/>
              <w:ind w:firstLine="480" w:firstLineChars="200"/>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3.推广应用行动学习。</w:t>
            </w:r>
          </w:p>
        </w:tc>
        <w:tc>
          <w:tcPr>
            <w:tcW w:w="1886" w:type="dxa"/>
            <w:vAlign w:val="center"/>
          </w:tcPr>
          <w:p>
            <w:pPr>
              <w:pStyle w:val="10"/>
              <w:spacing w:line="440" w:lineRule="exact"/>
              <w:rPr>
                <w:rFonts w:ascii="仿宋_GB2312" w:hAnsi="Calibri" w:eastAsia="仿宋_GB2312" w:cs="Times New Roman"/>
                <w:color w:val="000000" w:themeColor="text1"/>
                <w:spacing w:val="-10"/>
                <w:sz w:val="24"/>
                <w:szCs w:val="24"/>
              </w:rPr>
            </w:pPr>
            <w:r>
              <w:rPr>
                <w:rFonts w:hint="eastAsia" w:ascii="仿宋_GB2312" w:hAnsi="Calibri" w:eastAsia="仿宋_GB2312"/>
                <w:color w:val="000000" w:themeColor="text1"/>
                <w:sz w:val="24"/>
              </w:rPr>
              <w:t>市委组织部</w:t>
            </w:r>
          </w:p>
        </w:tc>
        <w:tc>
          <w:tcPr>
            <w:tcW w:w="2551" w:type="dxa"/>
            <w:vAlign w:val="center"/>
          </w:tcPr>
          <w:p>
            <w:pPr>
              <w:pStyle w:val="10"/>
              <w:spacing w:line="440" w:lineRule="exact"/>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市委党校</w:t>
            </w:r>
          </w:p>
        </w:tc>
        <w:tc>
          <w:tcPr>
            <w:tcW w:w="1602" w:type="dxa"/>
            <w:vAlign w:val="center"/>
          </w:tcPr>
          <w:p>
            <w:pPr>
              <w:pStyle w:val="10"/>
              <w:spacing w:line="440" w:lineRule="exact"/>
              <w:jc w:val="center"/>
              <w:rPr>
                <w:rFonts w:ascii="仿宋_GB2312" w:hAnsi="Calibri" w:eastAsia="仿宋_GB2312" w:cs="Times New Roman"/>
                <w:color w:val="000000" w:themeColor="text1"/>
                <w:sz w:val="24"/>
                <w:szCs w:val="24"/>
              </w:rPr>
            </w:pPr>
            <w:r>
              <w:rPr>
                <w:rFonts w:hint="eastAsia" w:ascii="仿宋_GB2312" w:hAnsi="Calibri" w:eastAsia="仿宋_GB2312"/>
                <w:color w:val="000000" w:themeColor="text1"/>
                <w:sz w:val="24"/>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630" w:type="dxa"/>
            <w:vMerge w:val="restart"/>
            <w:vAlign w:val="center"/>
          </w:tcPr>
          <w:p>
            <w:pPr>
              <w:pStyle w:val="10"/>
              <w:jc w:val="center"/>
              <w:rPr>
                <w:rFonts w:ascii="楷体_GB2312" w:hAnsi="Calibri" w:eastAsia="楷体_GB2312"/>
                <w:b/>
                <w:color w:val="000000" w:themeColor="text1"/>
                <w:sz w:val="24"/>
              </w:rPr>
            </w:pPr>
            <w:r>
              <w:rPr>
                <w:rFonts w:hint="eastAsia" w:ascii="楷体_GB2312" w:hAnsi="Calibri" w:eastAsia="楷体_GB2312"/>
                <w:b/>
                <w:color w:val="000000" w:themeColor="text1"/>
                <w:sz w:val="24"/>
              </w:rPr>
              <w:t>（六）实施科普基础设施建设工程</w:t>
            </w:r>
          </w:p>
          <w:p>
            <w:pPr>
              <w:pStyle w:val="10"/>
              <w:jc w:val="center"/>
              <w:rPr>
                <w:rFonts w:ascii="楷体_GB2312" w:hAnsi="Calibri" w:eastAsia="楷体_GB2312" w:cs="Times New Roman"/>
                <w:b/>
                <w:color w:val="000000" w:themeColor="text1"/>
                <w:sz w:val="24"/>
                <w:szCs w:val="24"/>
              </w:rPr>
            </w:pPr>
          </w:p>
        </w:tc>
        <w:tc>
          <w:tcPr>
            <w:tcW w:w="5235" w:type="dxa"/>
            <w:vAlign w:val="center"/>
          </w:tcPr>
          <w:p>
            <w:pPr>
              <w:pStyle w:val="10"/>
              <w:spacing w:line="440" w:lineRule="exact"/>
              <w:ind w:firstLine="480" w:firstLineChars="200"/>
              <w:rPr>
                <w:rFonts w:ascii="仿宋_GB2312" w:hAnsi="宋体" w:eastAsia="仿宋_GB2312" w:cs="Times New Roman"/>
                <w:sz w:val="24"/>
                <w:szCs w:val="24"/>
              </w:rPr>
            </w:pPr>
            <w:r>
              <w:rPr>
                <w:rFonts w:hint="eastAsia" w:ascii="仿宋_GB2312" w:hAnsi="Calibri" w:eastAsia="仿宋_GB2312"/>
                <w:sz w:val="24"/>
              </w:rPr>
              <w:t>1.推进现代科技场馆建设及开馆运营。加强政策支持和引导，加快市级现代科技馆建设的步伐。</w:t>
            </w:r>
          </w:p>
        </w:tc>
        <w:tc>
          <w:tcPr>
            <w:tcW w:w="1886" w:type="dxa"/>
            <w:vAlign w:val="center"/>
          </w:tcPr>
          <w:p>
            <w:pPr>
              <w:pStyle w:val="10"/>
              <w:spacing w:line="440" w:lineRule="exact"/>
              <w:rPr>
                <w:rFonts w:ascii="仿宋_GB2312" w:hAnsi="宋体" w:eastAsia="仿宋_GB2312" w:cs="Times New Roman"/>
                <w:color w:val="000000" w:themeColor="text1"/>
                <w:sz w:val="24"/>
                <w:szCs w:val="24"/>
              </w:rPr>
            </w:pPr>
            <w:r>
              <w:rPr>
                <w:rFonts w:hint="eastAsia" w:ascii="仿宋_GB2312" w:hAnsi="Calibri" w:eastAsia="仿宋_GB2312"/>
                <w:color w:val="000000" w:themeColor="text1"/>
                <w:sz w:val="24"/>
              </w:rPr>
              <w:t>市科协</w:t>
            </w:r>
          </w:p>
        </w:tc>
        <w:tc>
          <w:tcPr>
            <w:tcW w:w="2551" w:type="dxa"/>
            <w:vAlign w:val="center"/>
          </w:tcPr>
          <w:p>
            <w:pPr>
              <w:pStyle w:val="10"/>
              <w:spacing w:line="440" w:lineRule="exact"/>
              <w:rPr>
                <w:rFonts w:ascii="仿宋_GB2312" w:hAnsi="宋体" w:eastAsia="仿宋_GB2312" w:cs="Times New Roman"/>
                <w:color w:val="000000" w:themeColor="text1"/>
                <w:sz w:val="24"/>
                <w:szCs w:val="24"/>
              </w:rPr>
            </w:pPr>
            <w:r>
              <w:rPr>
                <w:rFonts w:hint="eastAsia" w:ascii="仿宋_GB2312" w:hAnsi="Calibri" w:eastAsia="仿宋_GB2312"/>
                <w:color w:val="000000" w:themeColor="text1"/>
                <w:sz w:val="24"/>
              </w:rPr>
              <w:t>市发展改革委、财政局等</w:t>
            </w:r>
          </w:p>
        </w:tc>
        <w:tc>
          <w:tcPr>
            <w:tcW w:w="1602" w:type="dxa"/>
            <w:vAlign w:val="center"/>
          </w:tcPr>
          <w:p>
            <w:pPr>
              <w:pStyle w:val="10"/>
              <w:spacing w:line="440" w:lineRule="exact"/>
              <w:jc w:val="center"/>
              <w:rPr>
                <w:rFonts w:ascii="仿宋_GB2312" w:hAnsi="宋体" w:eastAsia="仿宋_GB2312" w:cs="Times New Roman"/>
                <w:color w:val="000000" w:themeColor="text1"/>
                <w:sz w:val="24"/>
                <w:szCs w:val="24"/>
              </w:rPr>
            </w:pPr>
            <w:r>
              <w:rPr>
                <w:rFonts w:hint="eastAsia" w:ascii="仿宋_GB2312" w:hAnsi="Calibri" w:eastAsia="仿宋_GB2312"/>
                <w:color w:val="000000" w:themeColor="text1"/>
                <w:sz w:val="24"/>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1630" w:type="dxa"/>
            <w:vMerge w:val="continue"/>
            <w:vAlign w:val="center"/>
          </w:tcPr>
          <w:p>
            <w:pPr>
              <w:pStyle w:val="10"/>
              <w:jc w:val="center"/>
              <w:rPr>
                <w:rFonts w:ascii="楷体_GB2312" w:hAnsi="Calibri" w:eastAsia="楷体_GB2312"/>
                <w:b/>
                <w:color w:val="000000" w:themeColor="text1"/>
                <w:sz w:val="24"/>
              </w:rPr>
            </w:pPr>
          </w:p>
        </w:tc>
        <w:tc>
          <w:tcPr>
            <w:tcW w:w="5235" w:type="dxa"/>
            <w:vAlign w:val="center"/>
          </w:tcPr>
          <w:p>
            <w:pPr>
              <w:pStyle w:val="10"/>
              <w:spacing w:line="440" w:lineRule="exact"/>
              <w:ind w:firstLine="480" w:firstLineChars="200"/>
              <w:rPr>
                <w:rFonts w:ascii="仿宋_GB2312" w:hAnsi="宋体" w:eastAsia="仿宋_GB2312" w:cs="Times New Roman"/>
                <w:sz w:val="24"/>
                <w:szCs w:val="24"/>
              </w:rPr>
            </w:pPr>
            <w:r>
              <w:rPr>
                <w:rFonts w:hint="eastAsia" w:ascii="仿宋_GB2312" w:hAnsi="Calibri" w:eastAsia="仿宋_GB2312"/>
                <w:sz w:val="24"/>
              </w:rPr>
              <w:t>2.加强科普教育基地建设。建立行业类、教育类、科研类科普教育基地，强化青少年宫、妇儿活动中心、引导主题公园、自然保护区、森林公园、地质公园、动植物园、旅游景区、气象台站、地震台站等公共设施拓展科普教育功能。</w:t>
            </w:r>
          </w:p>
        </w:tc>
        <w:tc>
          <w:tcPr>
            <w:tcW w:w="1886" w:type="dxa"/>
            <w:vAlign w:val="center"/>
          </w:tcPr>
          <w:p>
            <w:pPr>
              <w:pStyle w:val="10"/>
              <w:spacing w:line="440" w:lineRule="exact"/>
              <w:rPr>
                <w:rFonts w:ascii="仿宋_GB2312" w:hAnsi="宋体" w:eastAsia="仿宋_GB2312" w:cs="Times New Roman"/>
                <w:color w:val="000000" w:themeColor="text1"/>
                <w:sz w:val="24"/>
                <w:szCs w:val="24"/>
              </w:rPr>
            </w:pPr>
            <w:r>
              <w:rPr>
                <w:rFonts w:hint="eastAsia" w:ascii="仿宋_GB2312" w:hAnsi="Calibri" w:eastAsia="仿宋_GB2312"/>
                <w:color w:val="000000" w:themeColor="text1"/>
                <w:sz w:val="24"/>
              </w:rPr>
              <w:t>市科协、教育局</w:t>
            </w:r>
          </w:p>
        </w:tc>
        <w:tc>
          <w:tcPr>
            <w:tcW w:w="2551" w:type="dxa"/>
            <w:vAlign w:val="center"/>
          </w:tcPr>
          <w:p>
            <w:pPr>
              <w:pStyle w:val="10"/>
              <w:spacing w:line="440" w:lineRule="exact"/>
              <w:rPr>
                <w:rFonts w:ascii="仿宋_GB2312" w:hAnsi="宋体" w:eastAsia="仿宋_GB2312" w:cs="Times New Roman"/>
                <w:sz w:val="24"/>
                <w:szCs w:val="24"/>
              </w:rPr>
            </w:pPr>
            <w:r>
              <w:rPr>
                <w:rFonts w:hint="eastAsia" w:ascii="仿宋_GB2312" w:hAnsi="Calibri" w:eastAsia="仿宋_GB2312"/>
                <w:sz w:val="24"/>
              </w:rPr>
              <w:t>市工业和信息化局、财政局、</w:t>
            </w:r>
            <w:r>
              <w:rPr>
                <w:rFonts w:hint="eastAsia" w:ascii="Calibri" w:hAnsi="Calibri" w:eastAsia="仿宋_GB2312"/>
                <w:sz w:val="24"/>
              </w:rPr>
              <w:t>自然资源和规划局</w:t>
            </w:r>
            <w:r>
              <w:rPr>
                <w:rFonts w:hint="eastAsia" w:ascii="仿宋_GB2312" w:hAnsi="Calibri" w:eastAsia="仿宋_GB2312"/>
                <w:sz w:val="24"/>
              </w:rPr>
              <w:t>、生态环境局、</w:t>
            </w:r>
            <w:r>
              <w:rPr>
                <w:rFonts w:hint="eastAsia" w:ascii="Calibri" w:hAnsi="Calibri" w:eastAsia="仿宋_GB2312"/>
                <w:sz w:val="24"/>
              </w:rPr>
              <w:t>文化广电旅游局</w:t>
            </w:r>
            <w:r>
              <w:rPr>
                <w:rFonts w:hint="eastAsia" w:ascii="仿宋_GB2312" w:hAnsi="Calibri" w:eastAsia="仿宋_GB2312"/>
                <w:sz w:val="24"/>
              </w:rPr>
              <w:t>、市场监管局、林业局、科技局、气象局、应急局，团市委、妇联等</w:t>
            </w:r>
          </w:p>
        </w:tc>
        <w:tc>
          <w:tcPr>
            <w:tcW w:w="1602" w:type="dxa"/>
            <w:vAlign w:val="center"/>
          </w:tcPr>
          <w:p>
            <w:pPr>
              <w:pStyle w:val="10"/>
              <w:spacing w:line="440" w:lineRule="exact"/>
              <w:jc w:val="center"/>
              <w:rPr>
                <w:rFonts w:ascii="仿宋_GB2312" w:hAnsi="宋体" w:eastAsia="仿宋_GB2312" w:cs="Times New Roman"/>
                <w:sz w:val="24"/>
                <w:szCs w:val="24"/>
              </w:rPr>
            </w:pPr>
            <w:r>
              <w:rPr>
                <w:rFonts w:hint="eastAsia" w:ascii="仿宋_GB2312" w:hAnsi="Calibri" w:eastAsia="仿宋_GB2312"/>
                <w:sz w:val="24"/>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630" w:type="dxa"/>
            <w:vMerge w:val="continue"/>
            <w:vAlign w:val="center"/>
          </w:tcPr>
          <w:p>
            <w:pPr>
              <w:pStyle w:val="10"/>
              <w:jc w:val="center"/>
              <w:rPr>
                <w:rFonts w:ascii="楷体_GB2312" w:hAnsi="Calibri" w:eastAsia="楷体_GB2312"/>
                <w:b/>
                <w:color w:val="000000" w:themeColor="text1"/>
                <w:sz w:val="24"/>
              </w:rPr>
            </w:pPr>
          </w:p>
        </w:tc>
        <w:tc>
          <w:tcPr>
            <w:tcW w:w="5235" w:type="dxa"/>
            <w:vAlign w:val="center"/>
          </w:tcPr>
          <w:p>
            <w:pPr>
              <w:pStyle w:val="10"/>
              <w:spacing w:line="440" w:lineRule="exact"/>
              <w:ind w:firstLine="480" w:firstLineChars="200"/>
              <w:rPr>
                <w:rFonts w:ascii="仿宋_GB2312" w:hAnsi="Calibri" w:eastAsia="仿宋_GB2312"/>
                <w:color w:val="000000" w:themeColor="text1"/>
                <w:sz w:val="24"/>
              </w:rPr>
            </w:pPr>
            <w:r>
              <w:rPr>
                <w:rFonts w:hint="eastAsia" w:ascii="仿宋_GB2312" w:hAnsi="Calibri" w:eastAsia="仿宋_GB2312"/>
                <w:color w:val="000000" w:themeColor="text1"/>
                <w:sz w:val="24"/>
              </w:rPr>
              <w:t>3.实施优质科普资源共享计划。发挥博物馆、图书馆、文化馆等公共文化的作用，提升公众服务的科技含量；推动有条件的高校、科研院所、科技社团向公众开放实验室、陈列室和其他科技类设施。</w:t>
            </w:r>
          </w:p>
          <w:p>
            <w:pPr>
              <w:pStyle w:val="10"/>
              <w:spacing w:line="440" w:lineRule="exact"/>
              <w:ind w:firstLine="480" w:firstLineChars="200"/>
              <w:rPr>
                <w:rFonts w:ascii="仿宋_GB2312" w:hAnsi="Calibri" w:eastAsia="仿宋_GB2312"/>
                <w:color w:val="000000" w:themeColor="text1"/>
                <w:sz w:val="24"/>
              </w:rPr>
            </w:pPr>
          </w:p>
        </w:tc>
        <w:tc>
          <w:tcPr>
            <w:tcW w:w="1886" w:type="dxa"/>
            <w:vAlign w:val="center"/>
          </w:tcPr>
          <w:p>
            <w:pPr>
              <w:pStyle w:val="10"/>
              <w:spacing w:line="440" w:lineRule="exact"/>
              <w:rPr>
                <w:rFonts w:ascii="仿宋_GB2312" w:hAnsi="宋体" w:eastAsia="仿宋_GB2312" w:cs="Times New Roman"/>
                <w:color w:val="000000" w:themeColor="text1"/>
                <w:spacing w:val="-2"/>
                <w:sz w:val="24"/>
                <w:szCs w:val="24"/>
              </w:rPr>
            </w:pPr>
            <w:r>
              <w:rPr>
                <w:rFonts w:hint="eastAsia" w:ascii="仿宋_GB2312" w:hAnsi="Calibri" w:eastAsia="仿宋_GB2312"/>
                <w:color w:val="000000" w:themeColor="text1"/>
                <w:spacing w:val="-2"/>
                <w:sz w:val="24"/>
              </w:rPr>
              <w:t>市</w:t>
            </w:r>
            <w:r>
              <w:rPr>
                <w:rFonts w:hint="eastAsia" w:ascii="Calibri" w:hAnsi="Calibri" w:eastAsia="仿宋_GB2312"/>
                <w:color w:val="000000" w:themeColor="text1"/>
                <w:sz w:val="24"/>
              </w:rPr>
              <w:t>文化广电旅游局</w:t>
            </w:r>
            <w:r>
              <w:rPr>
                <w:rFonts w:hint="eastAsia" w:ascii="仿宋_GB2312" w:hAnsi="Calibri" w:eastAsia="仿宋_GB2312"/>
                <w:color w:val="000000" w:themeColor="text1"/>
                <w:spacing w:val="-2"/>
                <w:sz w:val="24"/>
              </w:rPr>
              <w:t>、教育局、科技局、科协</w:t>
            </w:r>
          </w:p>
        </w:tc>
        <w:tc>
          <w:tcPr>
            <w:tcW w:w="2551" w:type="dxa"/>
            <w:vAlign w:val="center"/>
          </w:tcPr>
          <w:p>
            <w:pPr>
              <w:pStyle w:val="10"/>
              <w:spacing w:line="440" w:lineRule="exact"/>
              <w:rPr>
                <w:rFonts w:ascii="仿宋_GB2312" w:hAnsi="宋体" w:eastAsia="仿宋_GB2312" w:cs="Times New Roman"/>
                <w:color w:val="000000" w:themeColor="text1"/>
                <w:spacing w:val="-10"/>
                <w:sz w:val="24"/>
                <w:szCs w:val="24"/>
              </w:rPr>
            </w:pPr>
            <w:r>
              <w:rPr>
                <w:rFonts w:hint="eastAsia" w:ascii="仿宋_GB2312" w:hAnsi="Calibri" w:eastAsia="仿宋_GB2312"/>
                <w:color w:val="000000" w:themeColor="text1"/>
                <w:spacing w:val="-10"/>
                <w:sz w:val="24"/>
              </w:rPr>
              <w:t>市工业和信息化局、</w:t>
            </w:r>
            <w:r>
              <w:rPr>
                <w:rFonts w:hint="eastAsia" w:ascii="Calibri" w:hAnsi="Calibri" w:eastAsia="仿宋_GB2312"/>
                <w:color w:val="000000" w:themeColor="text1"/>
                <w:sz w:val="24"/>
              </w:rPr>
              <w:t>自然资源和规划局</w:t>
            </w:r>
            <w:r>
              <w:rPr>
                <w:rFonts w:hint="eastAsia" w:ascii="仿宋_GB2312" w:hAnsi="Calibri" w:eastAsia="仿宋_GB2312"/>
                <w:color w:val="000000" w:themeColor="text1"/>
                <w:spacing w:val="-10"/>
                <w:sz w:val="24"/>
              </w:rPr>
              <w:t>、生态环境局等</w:t>
            </w:r>
          </w:p>
        </w:tc>
        <w:tc>
          <w:tcPr>
            <w:tcW w:w="1602" w:type="dxa"/>
            <w:vAlign w:val="center"/>
          </w:tcPr>
          <w:p>
            <w:pPr>
              <w:pStyle w:val="10"/>
              <w:spacing w:line="440" w:lineRule="exact"/>
              <w:jc w:val="center"/>
              <w:rPr>
                <w:rFonts w:ascii="仿宋_GB2312" w:hAnsi="宋体" w:eastAsia="仿宋_GB2312" w:cs="Times New Roman"/>
                <w:color w:val="000000" w:themeColor="text1"/>
                <w:sz w:val="24"/>
                <w:szCs w:val="24"/>
              </w:rPr>
            </w:pPr>
            <w:r>
              <w:rPr>
                <w:rFonts w:hint="eastAsia" w:ascii="仿宋_GB2312" w:hAnsi="Calibri" w:eastAsia="仿宋_GB2312"/>
                <w:color w:val="000000" w:themeColor="text1"/>
                <w:sz w:val="24"/>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jc w:val="center"/>
        </w:trPr>
        <w:tc>
          <w:tcPr>
            <w:tcW w:w="1630" w:type="dxa"/>
            <w:vAlign w:val="center"/>
          </w:tcPr>
          <w:p>
            <w:pPr>
              <w:pStyle w:val="10"/>
              <w:jc w:val="center"/>
              <w:rPr>
                <w:rFonts w:ascii="楷体_GB2312" w:hAnsi="Calibri" w:eastAsia="楷体_GB2312"/>
                <w:color w:val="000000" w:themeColor="text1"/>
                <w:sz w:val="24"/>
              </w:rPr>
            </w:pPr>
            <w:r>
              <w:rPr>
                <w:rFonts w:hint="eastAsia" w:ascii="楷体_GB2312" w:hAnsi="Calibri" w:eastAsia="楷体_GB2312"/>
                <w:b/>
                <w:color w:val="000000" w:themeColor="text1"/>
                <w:sz w:val="24"/>
              </w:rPr>
              <w:t>（六）实施完善科普基础设施工程</w:t>
            </w:r>
          </w:p>
        </w:tc>
        <w:tc>
          <w:tcPr>
            <w:tcW w:w="5235" w:type="dxa"/>
            <w:vAlign w:val="center"/>
          </w:tcPr>
          <w:p>
            <w:pPr>
              <w:pStyle w:val="10"/>
              <w:spacing w:line="440" w:lineRule="exact"/>
              <w:ind w:firstLine="480" w:firstLineChars="200"/>
              <w:rPr>
                <w:rFonts w:ascii="仿宋_GB2312" w:hAnsi="宋体" w:eastAsia="仿宋_GB2312"/>
                <w:color w:val="000000" w:themeColor="text1"/>
                <w:sz w:val="24"/>
              </w:rPr>
            </w:pPr>
            <w:r>
              <w:rPr>
                <w:rFonts w:hint="eastAsia" w:ascii="仿宋_GB2312" w:hAnsi="Calibri" w:eastAsia="仿宋_GB2312"/>
                <w:color w:val="000000" w:themeColor="text1"/>
                <w:sz w:val="24"/>
              </w:rPr>
              <w:t>4.实施基层科普基础设施建设行动。加大街道（乡镇）、社区（行政村）的“科普活动站（室）”“科普画廊（宣传栏）”等科普设施的建设力度，有效发挥数字科普信息屏等新型基层科普设施作用，不断拓展基层科普服务能力。鼓励有条件的中小学利用现有的教育培训场所建立青少年科学工作室。</w:t>
            </w:r>
          </w:p>
        </w:tc>
        <w:tc>
          <w:tcPr>
            <w:tcW w:w="1886" w:type="dxa"/>
            <w:vAlign w:val="center"/>
          </w:tcPr>
          <w:p>
            <w:pPr>
              <w:pStyle w:val="10"/>
              <w:spacing w:line="440" w:lineRule="exact"/>
              <w:rPr>
                <w:rFonts w:ascii="仿宋_GB2312" w:hAnsi="宋体" w:eastAsia="仿宋_GB2312"/>
                <w:color w:val="000000" w:themeColor="text1"/>
                <w:sz w:val="24"/>
              </w:rPr>
            </w:pPr>
            <w:r>
              <w:rPr>
                <w:rFonts w:hint="eastAsia" w:ascii="仿宋_GB2312" w:hAnsi="Calibri" w:eastAsia="仿宋_GB2312"/>
                <w:color w:val="000000" w:themeColor="text1"/>
                <w:sz w:val="24"/>
              </w:rPr>
              <w:t>市科协、教育局</w:t>
            </w:r>
          </w:p>
        </w:tc>
        <w:tc>
          <w:tcPr>
            <w:tcW w:w="2551" w:type="dxa"/>
            <w:vAlign w:val="center"/>
          </w:tcPr>
          <w:p>
            <w:pPr>
              <w:pStyle w:val="10"/>
              <w:spacing w:line="440" w:lineRule="exact"/>
              <w:rPr>
                <w:rFonts w:ascii="仿宋_GB2312" w:hAnsi="宋体" w:eastAsia="仿宋_GB2312"/>
                <w:color w:val="000000" w:themeColor="text1"/>
                <w:spacing w:val="-10"/>
                <w:sz w:val="24"/>
              </w:rPr>
            </w:pPr>
            <w:r>
              <w:rPr>
                <w:rFonts w:hint="eastAsia" w:ascii="仿宋_GB2312" w:hAnsi="Calibri" w:eastAsia="仿宋_GB2312"/>
                <w:color w:val="000000" w:themeColor="text1"/>
                <w:spacing w:val="-10"/>
                <w:sz w:val="24"/>
              </w:rPr>
              <w:t>市财政局、民政局等</w:t>
            </w:r>
          </w:p>
        </w:tc>
        <w:tc>
          <w:tcPr>
            <w:tcW w:w="1602" w:type="dxa"/>
            <w:vAlign w:val="center"/>
          </w:tcPr>
          <w:p>
            <w:pPr>
              <w:pStyle w:val="10"/>
              <w:spacing w:line="440" w:lineRule="exact"/>
              <w:jc w:val="center"/>
              <w:rPr>
                <w:rFonts w:ascii="仿宋_GB2312" w:hAnsi="宋体" w:eastAsia="仿宋_GB2312"/>
                <w:color w:val="000000" w:themeColor="text1"/>
                <w:sz w:val="24"/>
              </w:rPr>
            </w:pPr>
            <w:r>
              <w:rPr>
                <w:rFonts w:hint="eastAsia" w:ascii="仿宋_GB2312" w:hAnsi="Calibri" w:eastAsia="仿宋_GB2312"/>
                <w:color w:val="000000" w:themeColor="text1"/>
                <w:sz w:val="24"/>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1630" w:type="dxa"/>
            <w:vAlign w:val="center"/>
          </w:tcPr>
          <w:p>
            <w:pPr>
              <w:pStyle w:val="10"/>
              <w:jc w:val="center"/>
              <w:rPr>
                <w:rFonts w:ascii="楷体_GB2312" w:hAnsi="Calibri" w:eastAsia="楷体_GB2312"/>
                <w:color w:val="000000" w:themeColor="text1"/>
                <w:sz w:val="24"/>
              </w:rPr>
            </w:pPr>
            <w:r>
              <w:rPr>
                <w:rFonts w:hint="eastAsia" w:ascii="楷体_GB2312" w:hAnsi="Calibri" w:eastAsia="楷体_GB2312"/>
                <w:b/>
                <w:color w:val="000000" w:themeColor="text1"/>
                <w:sz w:val="24"/>
                <w:szCs w:val="24"/>
              </w:rPr>
              <w:t>（七）实施科普基础设施建设工程</w:t>
            </w:r>
          </w:p>
        </w:tc>
        <w:tc>
          <w:tcPr>
            <w:tcW w:w="5235" w:type="dxa"/>
            <w:vAlign w:val="center"/>
          </w:tcPr>
          <w:p>
            <w:pPr>
              <w:pStyle w:val="10"/>
              <w:spacing w:line="440" w:lineRule="exact"/>
              <w:ind w:firstLine="480" w:firstLineChars="200"/>
              <w:rPr>
                <w:rFonts w:ascii="仿宋_GB2312" w:hAnsi="Calibri" w:eastAsia="仿宋_GB2312"/>
                <w:color w:val="000000" w:themeColor="text1"/>
                <w:sz w:val="24"/>
              </w:rPr>
            </w:pPr>
            <w:r>
              <w:rPr>
                <w:rFonts w:hint="eastAsia" w:ascii="仿宋_GB2312" w:hAnsi="Calibri" w:eastAsia="仿宋_GB2312"/>
                <w:color w:val="000000" w:themeColor="text1"/>
                <w:sz w:val="24"/>
              </w:rPr>
              <w:t>1.实施“互联网+科普”建设提升工程。继续打造“柳州微科普”、“科普地图”等科普新媒体品牌，结合新建科技馆及公共文化、旅游等方面工作开展，加快“科普地图”宣传推广应用，扩大科普信息的受众面,把柳州特色科普资源转化为数字科普产品。</w:t>
            </w:r>
          </w:p>
          <w:p>
            <w:pPr>
              <w:pStyle w:val="10"/>
              <w:spacing w:line="440" w:lineRule="exact"/>
              <w:rPr>
                <w:rFonts w:ascii="仿宋_GB2312" w:hAnsi="Calibri" w:eastAsia="仿宋_GB2312"/>
                <w:color w:val="000000" w:themeColor="text1"/>
                <w:sz w:val="24"/>
              </w:rPr>
            </w:pPr>
          </w:p>
        </w:tc>
        <w:tc>
          <w:tcPr>
            <w:tcW w:w="1886" w:type="dxa"/>
            <w:vAlign w:val="center"/>
          </w:tcPr>
          <w:p>
            <w:pPr>
              <w:pStyle w:val="10"/>
              <w:spacing w:line="440" w:lineRule="exact"/>
              <w:rPr>
                <w:rFonts w:ascii="仿宋_GB2312" w:hAnsi="宋体" w:eastAsia="仿宋_GB2312"/>
                <w:color w:val="000000" w:themeColor="text1"/>
                <w:sz w:val="24"/>
              </w:rPr>
            </w:pPr>
            <w:r>
              <w:rPr>
                <w:rFonts w:hint="eastAsia" w:ascii="仿宋_GB2312" w:hAnsi="Calibri" w:eastAsia="仿宋_GB2312"/>
                <w:color w:val="000000" w:themeColor="text1"/>
                <w:sz w:val="24"/>
              </w:rPr>
              <w:t>市科协</w:t>
            </w:r>
          </w:p>
        </w:tc>
        <w:tc>
          <w:tcPr>
            <w:tcW w:w="2551" w:type="dxa"/>
            <w:vAlign w:val="center"/>
          </w:tcPr>
          <w:p>
            <w:pPr>
              <w:pStyle w:val="10"/>
              <w:spacing w:line="440" w:lineRule="exact"/>
              <w:rPr>
                <w:rFonts w:ascii="仿宋_GB2312" w:hAnsi="宋体" w:eastAsia="仿宋_GB2312"/>
                <w:color w:val="000000" w:themeColor="text1"/>
                <w:spacing w:val="-10"/>
                <w:sz w:val="24"/>
              </w:rPr>
            </w:pPr>
            <w:r>
              <w:rPr>
                <w:rFonts w:hint="eastAsia" w:ascii="仿宋_GB2312" w:hAnsi="Calibri" w:eastAsia="仿宋_GB2312"/>
                <w:color w:val="000000" w:themeColor="text1"/>
                <w:spacing w:val="-10"/>
                <w:sz w:val="24"/>
              </w:rPr>
              <w:t>领导小组各成员单位</w:t>
            </w:r>
          </w:p>
        </w:tc>
        <w:tc>
          <w:tcPr>
            <w:tcW w:w="1602" w:type="dxa"/>
            <w:vAlign w:val="center"/>
          </w:tcPr>
          <w:p>
            <w:pPr>
              <w:pStyle w:val="10"/>
              <w:spacing w:line="440" w:lineRule="exact"/>
              <w:jc w:val="center"/>
              <w:rPr>
                <w:rFonts w:ascii="仿宋_GB2312" w:hAnsi="宋体" w:eastAsia="仿宋_GB2312"/>
                <w:color w:val="000000" w:themeColor="text1"/>
                <w:sz w:val="24"/>
              </w:rPr>
            </w:pPr>
            <w:r>
              <w:rPr>
                <w:rFonts w:hint="eastAsia" w:ascii="仿宋_GB2312" w:hAnsi="Calibri" w:eastAsia="仿宋_GB2312"/>
                <w:color w:val="000000" w:themeColor="text1"/>
                <w:sz w:val="24"/>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1630" w:type="dxa"/>
            <w:vMerge w:val="restart"/>
            <w:vAlign w:val="center"/>
          </w:tcPr>
          <w:p>
            <w:pPr>
              <w:pStyle w:val="10"/>
              <w:jc w:val="center"/>
              <w:rPr>
                <w:rFonts w:ascii="楷体_GB2312" w:hAnsi="Calibri" w:eastAsia="楷体_GB2312"/>
                <w:b/>
                <w:color w:val="000000" w:themeColor="text1"/>
                <w:sz w:val="24"/>
              </w:rPr>
            </w:pPr>
            <w:r>
              <w:rPr>
                <w:rFonts w:hint="eastAsia" w:ascii="楷体_GB2312" w:hAnsi="Calibri" w:eastAsia="楷体_GB2312"/>
                <w:b/>
                <w:color w:val="000000" w:themeColor="text1"/>
                <w:sz w:val="24"/>
                <w:szCs w:val="24"/>
              </w:rPr>
              <w:t>（七）实施科普基础设施建设工程</w:t>
            </w:r>
          </w:p>
        </w:tc>
        <w:tc>
          <w:tcPr>
            <w:tcW w:w="5235" w:type="dxa"/>
            <w:vAlign w:val="center"/>
          </w:tcPr>
          <w:p>
            <w:pPr>
              <w:pStyle w:val="10"/>
              <w:spacing w:line="440" w:lineRule="exact"/>
              <w:ind w:firstLine="480" w:firstLineChars="200"/>
              <w:rPr>
                <w:rFonts w:ascii="仿宋_GB2312" w:hAnsi="Calibri" w:eastAsia="仿宋_GB2312"/>
                <w:color w:val="000000" w:themeColor="text1"/>
                <w:sz w:val="24"/>
              </w:rPr>
            </w:pPr>
          </w:p>
          <w:p>
            <w:pPr>
              <w:pStyle w:val="10"/>
              <w:spacing w:line="440" w:lineRule="exact"/>
              <w:ind w:firstLine="480" w:firstLineChars="200"/>
              <w:rPr>
                <w:rFonts w:ascii="仿宋_GB2312" w:hAnsi="Calibri" w:eastAsia="仿宋_GB2312"/>
                <w:color w:val="000000" w:themeColor="text1"/>
                <w:sz w:val="24"/>
              </w:rPr>
            </w:pPr>
            <w:r>
              <w:rPr>
                <w:rFonts w:hint="eastAsia" w:ascii="仿宋_GB2312" w:hAnsi="Calibri" w:eastAsia="仿宋_GB2312"/>
                <w:color w:val="000000" w:themeColor="text1"/>
                <w:sz w:val="24"/>
              </w:rPr>
              <w:t>2.推动原创性科普融合创作。围绕公众关切的社会焦点、热点问题，大力开展科普文章、科普剧、科普视频、科普微电影、科普动漫等形式多样的科普作品创作。探索完善科普融合创作的社会动员激励机制，加大对优秀原创科普作品的扶持力度，鼓励社会各界参与科普作品创作。</w:t>
            </w:r>
          </w:p>
          <w:p>
            <w:pPr>
              <w:pStyle w:val="10"/>
              <w:spacing w:line="440" w:lineRule="exact"/>
              <w:ind w:firstLine="480" w:firstLineChars="200"/>
              <w:rPr>
                <w:rFonts w:ascii="仿宋_GB2312" w:hAnsi="Calibri" w:eastAsia="仿宋_GB2312" w:cs="Times New Roman"/>
                <w:color w:val="000000" w:themeColor="text1"/>
                <w:sz w:val="24"/>
                <w:szCs w:val="24"/>
              </w:rPr>
            </w:pPr>
          </w:p>
        </w:tc>
        <w:tc>
          <w:tcPr>
            <w:tcW w:w="1886" w:type="dxa"/>
            <w:vAlign w:val="center"/>
          </w:tcPr>
          <w:p>
            <w:pPr>
              <w:pStyle w:val="10"/>
              <w:spacing w:line="440" w:lineRule="exact"/>
              <w:rPr>
                <w:rFonts w:ascii="仿宋_GB2312" w:hAnsi="宋体" w:eastAsia="仿宋_GB2312" w:cs="Times New Roman"/>
                <w:color w:val="000000" w:themeColor="text1"/>
                <w:sz w:val="24"/>
                <w:szCs w:val="24"/>
              </w:rPr>
            </w:pPr>
            <w:r>
              <w:rPr>
                <w:rFonts w:hint="eastAsia" w:ascii="仿宋_GB2312" w:hAnsi="Calibri" w:eastAsia="仿宋_GB2312"/>
                <w:color w:val="000000" w:themeColor="text1"/>
                <w:sz w:val="24"/>
              </w:rPr>
              <w:t>市科协</w:t>
            </w:r>
          </w:p>
        </w:tc>
        <w:tc>
          <w:tcPr>
            <w:tcW w:w="2551" w:type="dxa"/>
            <w:vAlign w:val="center"/>
          </w:tcPr>
          <w:p>
            <w:pPr>
              <w:pStyle w:val="10"/>
              <w:spacing w:line="440" w:lineRule="exact"/>
              <w:rPr>
                <w:rFonts w:ascii="仿宋_GB2312" w:hAnsi="Calibri" w:eastAsia="仿宋_GB2312" w:cs="Times New Roman"/>
                <w:color w:val="000000" w:themeColor="text1"/>
                <w:spacing w:val="-6"/>
                <w:sz w:val="24"/>
                <w:szCs w:val="24"/>
              </w:rPr>
            </w:pPr>
            <w:r>
              <w:rPr>
                <w:rFonts w:hint="eastAsia" w:ascii="仿宋_GB2312" w:hAnsi="Calibri" w:eastAsia="仿宋_GB2312"/>
                <w:color w:val="000000" w:themeColor="text1"/>
                <w:spacing w:val="-6"/>
                <w:sz w:val="24"/>
              </w:rPr>
              <w:t>领导小组各成员单位</w:t>
            </w:r>
          </w:p>
        </w:tc>
        <w:tc>
          <w:tcPr>
            <w:tcW w:w="1602" w:type="dxa"/>
            <w:vAlign w:val="center"/>
          </w:tcPr>
          <w:p>
            <w:pPr>
              <w:pStyle w:val="10"/>
              <w:spacing w:line="440" w:lineRule="exact"/>
              <w:jc w:val="center"/>
              <w:rPr>
                <w:rFonts w:ascii="仿宋_GB2312" w:hAnsi="宋体" w:eastAsia="仿宋_GB2312" w:cs="Times New Roman"/>
                <w:color w:val="000000" w:themeColor="text1"/>
                <w:sz w:val="24"/>
                <w:szCs w:val="24"/>
              </w:rPr>
            </w:pPr>
            <w:r>
              <w:rPr>
                <w:rFonts w:hint="eastAsia" w:ascii="仿宋_GB2312" w:hAnsi="Calibri" w:eastAsia="仿宋_GB2312"/>
                <w:color w:val="000000" w:themeColor="text1"/>
                <w:sz w:val="24"/>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1630" w:type="dxa"/>
            <w:vMerge w:val="continue"/>
            <w:vAlign w:val="center"/>
          </w:tcPr>
          <w:p>
            <w:pPr>
              <w:pStyle w:val="10"/>
              <w:jc w:val="center"/>
              <w:rPr>
                <w:rFonts w:ascii="楷体_GB2312" w:hAnsi="Calibri" w:eastAsia="楷体_GB2312"/>
                <w:b/>
                <w:color w:val="000000" w:themeColor="text1"/>
                <w:sz w:val="24"/>
              </w:rPr>
            </w:pPr>
          </w:p>
        </w:tc>
        <w:tc>
          <w:tcPr>
            <w:tcW w:w="5235" w:type="dxa"/>
            <w:vAlign w:val="center"/>
          </w:tcPr>
          <w:p>
            <w:pPr>
              <w:pStyle w:val="10"/>
              <w:spacing w:line="440" w:lineRule="exact"/>
              <w:ind w:firstLine="480" w:firstLineChars="200"/>
              <w:rPr>
                <w:rFonts w:ascii="仿宋_GB2312" w:hAnsi="宋体" w:eastAsia="仿宋_GB2312" w:cs="Times New Roman"/>
                <w:color w:val="000000" w:themeColor="text1"/>
                <w:sz w:val="24"/>
                <w:szCs w:val="24"/>
              </w:rPr>
            </w:pPr>
            <w:r>
              <w:rPr>
                <w:rFonts w:hint="eastAsia" w:ascii="仿宋_GB2312" w:hAnsi="Calibri" w:eastAsia="仿宋_GB2312"/>
                <w:color w:val="000000" w:themeColor="text1"/>
                <w:sz w:val="24"/>
              </w:rPr>
              <w:t>3.融合拓宽科普宣传渠道。指导协调全市主要新闻媒体配合相关职能部门做好科普宣传报道工作，利用电子科普视频、社区电子屏、公交车视频、科普e站等多媒体终端传播科学知识。</w:t>
            </w:r>
          </w:p>
        </w:tc>
        <w:tc>
          <w:tcPr>
            <w:tcW w:w="1886" w:type="dxa"/>
            <w:vAlign w:val="center"/>
          </w:tcPr>
          <w:p>
            <w:pPr>
              <w:pStyle w:val="10"/>
              <w:spacing w:line="440" w:lineRule="exact"/>
              <w:rPr>
                <w:rFonts w:ascii="仿宋_GB2312" w:hAnsi="宋体" w:eastAsia="仿宋_GB2312" w:cs="Times New Roman"/>
                <w:color w:val="000000" w:themeColor="text1"/>
                <w:sz w:val="24"/>
                <w:szCs w:val="24"/>
              </w:rPr>
            </w:pPr>
            <w:r>
              <w:rPr>
                <w:rFonts w:hint="eastAsia" w:ascii="仿宋_GB2312" w:hAnsi="Calibri" w:eastAsia="仿宋_GB2312"/>
                <w:color w:val="000000" w:themeColor="text1"/>
                <w:sz w:val="24"/>
              </w:rPr>
              <w:t>市委宣传部、科协</w:t>
            </w:r>
          </w:p>
        </w:tc>
        <w:tc>
          <w:tcPr>
            <w:tcW w:w="2551" w:type="dxa"/>
            <w:vAlign w:val="center"/>
          </w:tcPr>
          <w:p>
            <w:pPr>
              <w:pStyle w:val="10"/>
              <w:spacing w:line="440" w:lineRule="exact"/>
              <w:rPr>
                <w:rFonts w:ascii="仿宋_GB2312" w:hAnsi="Calibri" w:eastAsia="仿宋_GB2312" w:cs="Times New Roman"/>
                <w:color w:val="000000" w:themeColor="text1"/>
                <w:spacing w:val="-6"/>
                <w:sz w:val="24"/>
                <w:szCs w:val="24"/>
              </w:rPr>
            </w:pPr>
            <w:r>
              <w:rPr>
                <w:rFonts w:hint="eastAsia" w:ascii="仿宋_GB2312" w:hAnsi="Calibri" w:eastAsia="仿宋_GB2312"/>
                <w:color w:val="000000" w:themeColor="text1"/>
                <w:spacing w:val="-6"/>
                <w:sz w:val="24"/>
              </w:rPr>
              <w:t>领导小组各成员单位</w:t>
            </w:r>
          </w:p>
        </w:tc>
        <w:tc>
          <w:tcPr>
            <w:tcW w:w="1602" w:type="dxa"/>
            <w:vAlign w:val="center"/>
          </w:tcPr>
          <w:p>
            <w:pPr>
              <w:pStyle w:val="10"/>
              <w:spacing w:line="440" w:lineRule="exact"/>
              <w:jc w:val="center"/>
              <w:rPr>
                <w:rFonts w:ascii="仿宋_GB2312" w:hAnsi="宋体" w:eastAsia="仿宋_GB2312" w:cs="Times New Roman"/>
                <w:color w:val="000000" w:themeColor="text1"/>
                <w:sz w:val="24"/>
                <w:szCs w:val="24"/>
              </w:rPr>
            </w:pPr>
            <w:r>
              <w:rPr>
                <w:rFonts w:hint="eastAsia" w:ascii="仿宋_GB2312" w:hAnsi="Calibri" w:eastAsia="仿宋_GB2312"/>
                <w:color w:val="000000" w:themeColor="text1"/>
                <w:sz w:val="24"/>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1630" w:type="dxa"/>
            <w:vAlign w:val="center"/>
          </w:tcPr>
          <w:p>
            <w:pPr>
              <w:pStyle w:val="10"/>
              <w:jc w:val="center"/>
              <w:rPr>
                <w:rFonts w:ascii="楷体_GB2312" w:hAnsi="Calibri" w:eastAsia="楷体_GB2312"/>
                <w:b/>
                <w:color w:val="000000" w:themeColor="text1"/>
                <w:sz w:val="24"/>
              </w:rPr>
            </w:pPr>
            <w:r>
              <w:rPr>
                <w:rFonts w:hint="eastAsia" w:ascii="楷体_GB2312" w:hAnsi="Calibri" w:eastAsia="楷体_GB2312"/>
                <w:b/>
                <w:color w:val="000000" w:themeColor="text1"/>
                <w:sz w:val="24"/>
                <w:szCs w:val="24"/>
              </w:rPr>
              <w:t>（七）实施科普基础设施建设工程</w:t>
            </w:r>
          </w:p>
        </w:tc>
        <w:tc>
          <w:tcPr>
            <w:tcW w:w="5235" w:type="dxa"/>
            <w:vAlign w:val="center"/>
          </w:tcPr>
          <w:p>
            <w:pPr>
              <w:pStyle w:val="10"/>
              <w:spacing w:line="440" w:lineRule="exact"/>
              <w:ind w:firstLine="480" w:firstLineChars="200"/>
              <w:rPr>
                <w:rFonts w:ascii="仿宋_GB2312" w:hAnsi="Calibri" w:eastAsia="仿宋_GB2312"/>
                <w:color w:val="000000" w:themeColor="text1"/>
                <w:sz w:val="24"/>
              </w:rPr>
            </w:pPr>
          </w:p>
          <w:p>
            <w:pPr>
              <w:pStyle w:val="10"/>
              <w:spacing w:line="440" w:lineRule="exact"/>
              <w:ind w:firstLine="480" w:firstLineChars="200"/>
              <w:rPr>
                <w:rFonts w:ascii="仿宋_GB2312" w:hAnsi="Calibri" w:eastAsia="仿宋_GB2312"/>
                <w:color w:val="000000" w:themeColor="text1"/>
                <w:sz w:val="24"/>
              </w:rPr>
            </w:pPr>
            <w:r>
              <w:rPr>
                <w:rFonts w:hint="eastAsia" w:ascii="仿宋_GB2312" w:hAnsi="Calibri" w:eastAsia="仿宋_GB2312"/>
                <w:color w:val="000000" w:themeColor="text1"/>
                <w:sz w:val="24"/>
              </w:rPr>
              <w:t>4.加强科普信息员建设。广泛组织动员科技工作者、科普e站管理员、社区居民、农村致富带头人等加入科普信息员队伍，加大基层科普信息员培训力度，提高科普信息员政治素养和服务能力水平，充分发挥科普信息员“群主”作用，借助多元的媒体平台向城乡居民推送优质的科普内容。</w:t>
            </w:r>
          </w:p>
          <w:p>
            <w:pPr>
              <w:pStyle w:val="10"/>
              <w:spacing w:line="440" w:lineRule="exact"/>
              <w:ind w:firstLine="480" w:firstLineChars="200"/>
              <w:rPr>
                <w:rFonts w:ascii="仿宋_GB2312" w:hAnsi="Calibri" w:eastAsia="仿宋_GB2312" w:cs="Times New Roman"/>
                <w:color w:val="000000" w:themeColor="text1"/>
                <w:sz w:val="24"/>
                <w:szCs w:val="24"/>
              </w:rPr>
            </w:pPr>
          </w:p>
        </w:tc>
        <w:tc>
          <w:tcPr>
            <w:tcW w:w="1886" w:type="dxa"/>
            <w:vAlign w:val="center"/>
          </w:tcPr>
          <w:p>
            <w:pPr>
              <w:pStyle w:val="10"/>
              <w:spacing w:line="440" w:lineRule="exact"/>
              <w:rPr>
                <w:rFonts w:ascii="仿宋_GB2312" w:hAnsi="宋体" w:eastAsia="仿宋_GB2312" w:cs="Times New Roman"/>
                <w:color w:val="000000" w:themeColor="text1"/>
                <w:sz w:val="24"/>
                <w:szCs w:val="24"/>
              </w:rPr>
            </w:pPr>
            <w:r>
              <w:rPr>
                <w:rFonts w:hint="eastAsia" w:ascii="仿宋_GB2312" w:hAnsi="Calibri" w:eastAsia="仿宋_GB2312"/>
                <w:color w:val="000000" w:themeColor="text1"/>
                <w:sz w:val="24"/>
              </w:rPr>
              <w:t>市科协</w:t>
            </w:r>
          </w:p>
        </w:tc>
        <w:tc>
          <w:tcPr>
            <w:tcW w:w="2551" w:type="dxa"/>
            <w:vAlign w:val="center"/>
          </w:tcPr>
          <w:p>
            <w:pPr>
              <w:pStyle w:val="10"/>
              <w:spacing w:line="440" w:lineRule="exact"/>
              <w:rPr>
                <w:rFonts w:ascii="仿宋_GB2312" w:hAnsi="Calibri" w:eastAsia="仿宋_GB2312" w:cs="Times New Roman"/>
                <w:color w:val="000000" w:themeColor="text1"/>
                <w:spacing w:val="-6"/>
                <w:sz w:val="24"/>
                <w:szCs w:val="24"/>
              </w:rPr>
            </w:pPr>
            <w:r>
              <w:rPr>
                <w:rFonts w:hint="eastAsia" w:ascii="仿宋_GB2312" w:hAnsi="Calibri" w:eastAsia="仿宋_GB2312"/>
                <w:color w:val="000000" w:themeColor="text1"/>
                <w:spacing w:val="-6"/>
                <w:sz w:val="24"/>
              </w:rPr>
              <w:t>领导小组各成员单位</w:t>
            </w:r>
          </w:p>
        </w:tc>
        <w:tc>
          <w:tcPr>
            <w:tcW w:w="1602" w:type="dxa"/>
            <w:vAlign w:val="center"/>
          </w:tcPr>
          <w:p>
            <w:pPr>
              <w:pStyle w:val="10"/>
              <w:spacing w:line="440" w:lineRule="exact"/>
              <w:jc w:val="center"/>
              <w:rPr>
                <w:rFonts w:ascii="仿宋_GB2312" w:hAnsi="宋体" w:eastAsia="仿宋_GB2312" w:cs="Times New Roman"/>
                <w:color w:val="000000" w:themeColor="text1"/>
                <w:sz w:val="24"/>
                <w:szCs w:val="24"/>
              </w:rPr>
            </w:pPr>
            <w:r>
              <w:rPr>
                <w:rFonts w:hint="eastAsia" w:ascii="仿宋_GB2312" w:hAnsi="Calibri" w:eastAsia="仿宋_GB2312"/>
                <w:color w:val="000000" w:themeColor="text1"/>
                <w:sz w:val="24"/>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1630" w:type="dxa"/>
            <w:vAlign w:val="center"/>
          </w:tcPr>
          <w:p>
            <w:pPr>
              <w:pStyle w:val="10"/>
              <w:jc w:val="center"/>
              <w:rPr>
                <w:rFonts w:ascii="楷体_GB2312" w:hAnsi="Calibri" w:eastAsia="楷体_GB2312"/>
                <w:b/>
                <w:color w:val="000000" w:themeColor="text1"/>
                <w:sz w:val="24"/>
              </w:rPr>
            </w:pPr>
            <w:r>
              <w:rPr>
                <w:rFonts w:hint="eastAsia" w:ascii="楷体_GB2312" w:hAnsi="Calibri" w:eastAsia="楷体_GB2312"/>
                <w:b/>
                <w:color w:val="000000" w:themeColor="text1"/>
                <w:sz w:val="24"/>
              </w:rPr>
              <w:t>（八）实施科普人才培养工程</w:t>
            </w:r>
          </w:p>
        </w:tc>
        <w:tc>
          <w:tcPr>
            <w:tcW w:w="5235" w:type="dxa"/>
            <w:vAlign w:val="center"/>
          </w:tcPr>
          <w:p>
            <w:pPr>
              <w:pStyle w:val="10"/>
              <w:spacing w:line="440" w:lineRule="exact"/>
              <w:ind w:firstLine="480" w:firstLineChars="200"/>
              <w:rPr>
                <w:rFonts w:ascii="仿宋_GB2312" w:hAnsi="宋体" w:eastAsia="仿宋_GB2312" w:cs="Times New Roman"/>
                <w:color w:val="000000" w:themeColor="text1"/>
                <w:sz w:val="24"/>
                <w:szCs w:val="24"/>
              </w:rPr>
            </w:pPr>
            <w:r>
              <w:rPr>
                <w:rFonts w:hint="eastAsia" w:ascii="仿宋_GB2312" w:hAnsi="Calibri" w:eastAsia="仿宋_GB2312"/>
                <w:color w:val="000000" w:themeColor="text1"/>
                <w:sz w:val="24"/>
              </w:rPr>
              <w:t>1.大力培养基层科普人才。把吸纳医院院长、学校校长、农技站站长（以下简称“三长”）等“关键人物”进入县乡镇科协领导机构兼职挂职作为推动基层科协改革、提升基层科协组织力的重要抓手，全面提升基层科协科普能力。</w:t>
            </w:r>
          </w:p>
        </w:tc>
        <w:tc>
          <w:tcPr>
            <w:tcW w:w="1886" w:type="dxa"/>
            <w:vAlign w:val="center"/>
          </w:tcPr>
          <w:p>
            <w:pPr>
              <w:pStyle w:val="10"/>
              <w:spacing w:line="440" w:lineRule="exact"/>
              <w:rPr>
                <w:rFonts w:ascii="仿宋_GB2312" w:hAnsi="宋体" w:eastAsia="仿宋_GB2312" w:cs="Times New Roman"/>
                <w:spacing w:val="-6"/>
                <w:sz w:val="24"/>
                <w:szCs w:val="24"/>
              </w:rPr>
            </w:pPr>
            <w:r>
              <w:rPr>
                <w:rFonts w:hint="eastAsia" w:ascii="仿宋_GB2312" w:hAnsi="Calibri" w:eastAsia="仿宋_GB2312"/>
                <w:spacing w:val="-6"/>
                <w:sz w:val="24"/>
              </w:rPr>
              <w:t>市科协</w:t>
            </w:r>
          </w:p>
        </w:tc>
        <w:tc>
          <w:tcPr>
            <w:tcW w:w="2551" w:type="dxa"/>
            <w:vAlign w:val="center"/>
          </w:tcPr>
          <w:p>
            <w:pPr>
              <w:pStyle w:val="10"/>
              <w:spacing w:line="440" w:lineRule="exact"/>
              <w:rPr>
                <w:rFonts w:ascii="仿宋_GB2312" w:hAnsi="宋体" w:eastAsia="仿宋_GB2312" w:cs="Times New Roman"/>
                <w:sz w:val="24"/>
                <w:szCs w:val="24"/>
              </w:rPr>
            </w:pPr>
            <w:r>
              <w:rPr>
                <w:rFonts w:hint="eastAsia" w:ascii="仿宋_GB2312" w:hAnsi="Calibri" w:eastAsia="仿宋_GB2312"/>
                <w:spacing w:val="-6"/>
                <w:sz w:val="24"/>
              </w:rPr>
              <w:t>市委组织部、</w:t>
            </w:r>
            <w:r>
              <w:rPr>
                <w:rFonts w:hint="eastAsia" w:ascii="仿宋_GB2312" w:hAnsi="Calibri" w:eastAsia="仿宋_GB2312"/>
                <w:sz w:val="24"/>
              </w:rPr>
              <w:t>市卫生健康委、教育局、农业农村局、民宗委</w:t>
            </w:r>
          </w:p>
        </w:tc>
        <w:tc>
          <w:tcPr>
            <w:tcW w:w="1602" w:type="dxa"/>
            <w:vAlign w:val="center"/>
          </w:tcPr>
          <w:p>
            <w:pPr>
              <w:pStyle w:val="10"/>
              <w:spacing w:line="440" w:lineRule="exact"/>
              <w:jc w:val="center"/>
              <w:rPr>
                <w:rFonts w:ascii="仿宋_GB2312" w:hAnsi="宋体" w:eastAsia="仿宋_GB2312" w:cs="Times New Roman"/>
                <w:color w:val="000000" w:themeColor="text1"/>
                <w:sz w:val="24"/>
                <w:szCs w:val="24"/>
              </w:rPr>
            </w:pPr>
            <w:r>
              <w:rPr>
                <w:rFonts w:hint="eastAsia" w:ascii="仿宋_GB2312" w:hAnsi="Calibri" w:eastAsia="仿宋_GB2312"/>
                <w:color w:val="000000" w:themeColor="text1"/>
                <w:sz w:val="24"/>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1630" w:type="dxa"/>
            <w:vMerge w:val="restart"/>
            <w:vAlign w:val="center"/>
          </w:tcPr>
          <w:p>
            <w:pPr>
              <w:pStyle w:val="10"/>
              <w:jc w:val="center"/>
              <w:rPr>
                <w:rFonts w:ascii="楷体_GB2312" w:hAnsi="Calibri" w:eastAsia="楷体_GB2312"/>
                <w:b/>
                <w:color w:val="000000" w:themeColor="text1"/>
                <w:sz w:val="24"/>
              </w:rPr>
            </w:pPr>
            <w:r>
              <w:rPr>
                <w:rFonts w:hint="eastAsia" w:ascii="楷体_GB2312" w:hAnsi="Calibri" w:eastAsia="楷体_GB2312"/>
                <w:b/>
                <w:color w:val="000000" w:themeColor="text1"/>
                <w:sz w:val="24"/>
              </w:rPr>
              <w:t>（八）实施科普人才培养工程</w:t>
            </w:r>
          </w:p>
        </w:tc>
        <w:tc>
          <w:tcPr>
            <w:tcW w:w="5235" w:type="dxa"/>
            <w:vAlign w:val="center"/>
          </w:tcPr>
          <w:p>
            <w:pPr>
              <w:pStyle w:val="10"/>
              <w:spacing w:line="440" w:lineRule="exact"/>
              <w:ind w:firstLine="480" w:firstLineChars="200"/>
              <w:rPr>
                <w:rFonts w:ascii="仿宋_GB2312" w:hAnsi="宋体" w:eastAsia="仿宋_GB2312" w:cs="Times New Roman"/>
                <w:color w:val="000000" w:themeColor="text1"/>
                <w:sz w:val="24"/>
                <w:szCs w:val="24"/>
              </w:rPr>
            </w:pPr>
            <w:r>
              <w:rPr>
                <w:rFonts w:hint="eastAsia" w:ascii="仿宋_GB2312" w:hAnsi="Calibri" w:eastAsia="仿宋_GB2312"/>
                <w:color w:val="000000" w:themeColor="text1"/>
                <w:sz w:val="24"/>
              </w:rPr>
              <w:t>2.加快培养科技专门人才。实施中小学科技专业教师队伍建设计划，配齐补齐科技专业教师队伍；强化科技专业教师的培养培训，进一步提高教师科学素质。</w:t>
            </w:r>
          </w:p>
        </w:tc>
        <w:tc>
          <w:tcPr>
            <w:tcW w:w="1886" w:type="dxa"/>
            <w:vAlign w:val="center"/>
          </w:tcPr>
          <w:p>
            <w:pPr>
              <w:pStyle w:val="10"/>
              <w:spacing w:line="440" w:lineRule="exact"/>
              <w:rPr>
                <w:rFonts w:ascii="仿宋_GB2312" w:hAnsi="宋体" w:eastAsia="仿宋_GB2312" w:cs="Times New Roman"/>
                <w:color w:val="000000" w:themeColor="text1"/>
                <w:sz w:val="24"/>
                <w:szCs w:val="24"/>
              </w:rPr>
            </w:pPr>
            <w:r>
              <w:rPr>
                <w:rFonts w:hint="eastAsia" w:ascii="仿宋_GB2312" w:hAnsi="Calibri" w:eastAsia="仿宋_GB2312"/>
                <w:color w:val="000000" w:themeColor="text1"/>
                <w:sz w:val="24"/>
              </w:rPr>
              <w:t>市教育局</w:t>
            </w:r>
          </w:p>
        </w:tc>
        <w:tc>
          <w:tcPr>
            <w:tcW w:w="2551" w:type="dxa"/>
            <w:vAlign w:val="center"/>
          </w:tcPr>
          <w:p>
            <w:pPr>
              <w:pStyle w:val="10"/>
              <w:spacing w:line="440" w:lineRule="exact"/>
              <w:rPr>
                <w:rFonts w:ascii="仿宋_GB2312" w:hAnsi="宋体" w:eastAsia="仿宋_GB2312" w:cs="Times New Roman"/>
                <w:color w:val="000000" w:themeColor="text1"/>
                <w:sz w:val="24"/>
                <w:szCs w:val="24"/>
              </w:rPr>
            </w:pPr>
            <w:r>
              <w:rPr>
                <w:rFonts w:hint="eastAsia" w:ascii="仿宋_GB2312" w:hAnsi="Calibri" w:eastAsia="仿宋_GB2312"/>
                <w:color w:val="000000" w:themeColor="text1"/>
                <w:sz w:val="24"/>
              </w:rPr>
              <w:t>市科协，团市委等</w:t>
            </w:r>
          </w:p>
        </w:tc>
        <w:tc>
          <w:tcPr>
            <w:tcW w:w="1602" w:type="dxa"/>
            <w:vAlign w:val="center"/>
          </w:tcPr>
          <w:p>
            <w:pPr>
              <w:pStyle w:val="10"/>
              <w:spacing w:line="440" w:lineRule="exact"/>
              <w:jc w:val="center"/>
              <w:rPr>
                <w:rFonts w:ascii="仿宋_GB2312" w:hAnsi="宋体" w:eastAsia="仿宋_GB2312" w:cs="Times New Roman"/>
                <w:color w:val="000000" w:themeColor="text1"/>
                <w:sz w:val="24"/>
                <w:szCs w:val="24"/>
              </w:rPr>
            </w:pPr>
            <w:r>
              <w:rPr>
                <w:rFonts w:hint="eastAsia" w:ascii="仿宋_GB2312" w:hAnsi="Calibri" w:eastAsia="仿宋_GB2312"/>
                <w:color w:val="000000" w:themeColor="text1"/>
                <w:sz w:val="24"/>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1630" w:type="dxa"/>
            <w:vMerge w:val="continue"/>
            <w:vAlign w:val="center"/>
          </w:tcPr>
          <w:p>
            <w:pPr>
              <w:pStyle w:val="10"/>
              <w:jc w:val="center"/>
              <w:rPr>
                <w:rFonts w:ascii="楷体_GB2312" w:hAnsi="Calibri" w:eastAsia="楷体_GB2312"/>
                <w:b/>
                <w:color w:val="000000" w:themeColor="text1"/>
                <w:sz w:val="24"/>
              </w:rPr>
            </w:pPr>
          </w:p>
        </w:tc>
        <w:tc>
          <w:tcPr>
            <w:tcW w:w="5235" w:type="dxa"/>
            <w:vAlign w:val="center"/>
          </w:tcPr>
          <w:p>
            <w:pPr>
              <w:pStyle w:val="10"/>
              <w:spacing w:line="440" w:lineRule="exact"/>
              <w:ind w:firstLine="480" w:firstLineChars="200"/>
              <w:rPr>
                <w:rFonts w:ascii="仿宋_GB2312" w:hAnsi="Calibri" w:eastAsia="仿宋_GB2312"/>
                <w:color w:val="000000" w:themeColor="text1"/>
                <w:sz w:val="24"/>
              </w:rPr>
            </w:pPr>
            <w:r>
              <w:rPr>
                <w:rFonts w:hint="eastAsia" w:ascii="仿宋_GB2312" w:hAnsi="Calibri" w:eastAsia="仿宋_GB2312"/>
                <w:color w:val="000000" w:themeColor="text1"/>
                <w:sz w:val="24"/>
              </w:rPr>
              <w:t>3.加强科普志愿者队伍建设。鼓励老科技工作者、高校师生、中学生、传媒从业者参与科普志愿服务，发展应急科普志愿者队伍，动员组织科技特派员、农村致富带头人、气象信息员等担任科普员。</w:t>
            </w:r>
          </w:p>
          <w:p>
            <w:pPr>
              <w:pStyle w:val="10"/>
              <w:spacing w:line="440" w:lineRule="exact"/>
              <w:ind w:firstLine="480" w:firstLineChars="200"/>
              <w:rPr>
                <w:rFonts w:ascii="仿宋_GB2312" w:hAnsi="宋体" w:eastAsia="仿宋_GB2312" w:cs="Times New Roman"/>
                <w:color w:val="000000" w:themeColor="text1"/>
                <w:sz w:val="24"/>
                <w:szCs w:val="24"/>
              </w:rPr>
            </w:pPr>
          </w:p>
        </w:tc>
        <w:tc>
          <w:tcPr>
            <w:tcW w:w="1886" w:type="dxa"/>
            <w:vAlign w:val="center"/>
          </w:tcPr>
          <w:p>
            <w:pPr>
              <w:pStyle w:val="10"/>
              <w:spacing w:line="440" w:lineRule="exact"/>
              <w:rPr>
                <w:rFonts w:ascii="仿宋_GB2312" w:hAnsi="宋体" w:eastAsia="仿宋_GB2312" w:cs="Times New Roman"/>
                <w:color w:val="000000" w:themeColor="text1"/>
                <w:sz w:val="24"/>
                <w:szCs w:val="24"/>
              </w:rPr>
            </w:pPr>
            <w:r>
              <w:rPr>
                <w:rFonts w:hint="eastAsia" w:ascii="仿宋_GB2312" w:hAnsi="Calibri" w:eastAsia="仿宋_GB2312"/>
                <w:color w:val="000000" w:themeColor="text1"/>
                <w:sz w:val="24"/>
              </w:rPr>
              <w:t>市科协</w:t>
            </w:r>
          </w:p>
        </w:tc>
        <w:tc>
          <w:tcPr>
            <w:tcW w:w="2551" w:type="dxa"/>
            <w:vAlign w:val="center"/>
          </w:tcPr>
          <w:p>
            <w:pPr>
              <w:pStyle w:val="10"/>
              <w:spacing w:line="440" w:lineRule="exact"/>
              <w:rPr>
                <w:rFonts w:ascii="仿宋_GB2312" w:hAnsi="宋体" w:eastAsia="仿宋_GB2312" w:cs="Times New Roman"/>
                <w:color w:val="000000" w:themeColor="text1"/>
                <w:spacing w:val="-6"/>
                <w:sz w:val="24"/>
                <w:szCs w:val="24"/>
              </w:rPr>
            </w:pPr>
            <w:r>
              <w:rPr>
                <w:rFonts w:hint="eastAsia" w:ascii="仿宋_GB2312" w:hAnsi="Calibri" w:eastAsia="仿宋_GB2312"/>
                <w:color w:val="000000" w:themeColor="text1"/>
                <w:sz w:val="24"/>
              </w:rPr>
              <w:t>市教育局、应急局、科技局、农业农村局、气象局，团市委等</w:t>
            </w:r>
          </w:p>
        </w:tc>
        <w:tc>
          <w:tcPr>
            <w:tcW w:w="1602" w:type="dxa"/>
            <w:vAlign w:val="center"/>
          </w:tcPr>
          <w:p>
            <w:pPr>
              <w:pStyle w:val="10"/>
              <w:spacing w:line="440" w:lineRule="exact"/>
              <w:jc w:val="center"/>
              <w:rPr>
                <w:rFonts w:ascii="仿宋_GB2312" w:hAnsi="宋体" w:eastAsia="仿宋_GB2312" w:cs="Times New Roman"/>
                <w:color w:val="000000" w:themeColor="text1"/>
                <w:sz w:val="24"/>
                <w:szCs w:val="24"/>
              </w:rPr>
            </w:pPr>
            <w:r>
              <w:rPr>
                <w:rFonts w:hint="eastAsia" w:ascii="仿宋_GB2312" w:hAnsi="Calibri" w:eastAsia="仿宋_GB2312"/>
                <w:color w:val="000000" w:themeColor="text1"/>
                <w:sz w:val="24"/>
              </w:rPr>
              <w:t>1-12月</w:t>
            </w:r>
          </w:p>
        </w:tc>
      </w:tr>
    </w:tbl>
    <w:p>
      <w:pPr>
        <w:pStyle w:val="10"/>
        <w:rPr>
          <w:color w:val="000000"/>
        </w:rPr>
        <w:sectPr>
          <w:footerReference r:id="rId5" w:type="default"/>
          <w:pgSz w:w="16838" w:h="11906" w:orient="landscape"/>
          <w:pgMar w:top="1588" w:right="2098" w:bottom="1474" w:left="1985" w:header="851" w:footer="1247" w:gutter="0"/>
          <w:pgNumType w:fmt="numberInDash"/>
          <w:cols w:space="425" w:num="1"/>
          <w:docGrid w:type="linesAndChars" w:linePitch="312" w:charSpace="0"/>
        </w:sectPr>
      </w:pPr>
    </w:p>
    <w:p>
      <w:pPr>
        <w:pStyle w:val="10"/>
        <w:rPr>
          <w:rFonts w:ascii="方正小标宋简体" w:hAnsi="方正小标宋简体" w:eastAsia="方正小标宋简体" w:cs="方正小标宋简体"/>
          <w:color w:val="000000"/>
          <w:sz w:val="44"/>
          <w:szCs w:val="44"/>
        </w:rPr>
      </w:pPr>
    </w:p>
    <w:sectPr>
      <w:pgSz w:w="11906" w:h="16838"/>
      <w:pgMar w:top="1797" w:right="1440" w:bottom="179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B854A02"/>
    <w:rsid w:val="000368B3"/>
    <w:rsid w:val="00043F50"/>
    <w:rsid w:val="00052E04"/>
    <w:rsid w:val="00133FD3"/>
    <w:rsid w:val="00134D07"/>
    <w:rsid w:val="001914CA"/>
    <w:rsid w:val="002571CD"/>
    <w:rsid w:val="00311C04"/>
    <w:rsid w:val="00311C16"/>
    <w:rsid w:val="00351FA8"/>
    <w:rsid w:val="00367321"/>
    <w:rsid w:val="003B287B"/>
    <w:rsid w:val="003C5F52"/>
    <w:rsid w:val="00401EBA"/>
    <w:rsid w:val="00450654"/>
    <w:rsid w:val="004B4DF8"/>
    <w:rsid w:val="005121DD"/>
    <w:rsid w:val="00573294"/>
    <w:rsid w:val="005E42EE"/>
    <w:rsid w:val="006677DB"/>
    <w:rsid w:val="00684EFD"/>
    <w:rsid w:val="0068635A"/>
    <w:rsid w:val="006D3442"/>
    <w:rsid w:val="00726DAA"/>
    <w:rsid w:val="0074377C"/>
    <w:rsid w:val="00780699"/>
    <w:rsid w:val="008654EB"/>
    <w:rsid w:val="00921DC1"/>
    <w:rsid w:val="009337F8"/>
    <w:rsid w:val="009A4969"/>
    <w:rsid w:val="00AC2A5C"/>
    <w:rsid w:val="00B13584"/>
    <w:rsid w:val="00B362F9"/>
    <w:rsid w:val="00BB0E8A"/>
    <w:rsid w:val="00BF616A"/>
    <w:rsid w:val="00C30909"/>
    <w:rsid w:val="00C659E3"/>
    <w:rsid w:val="00CD5AFB"/>
    <w:rsid w:val="00D020FC"/>
    <w:rsid w:val="00D220EE"/>
    <w:rsid w:val="00D55278"/>
    <w:rsid w:val="00D824A1"/>
    <w:rsid w:val="00DB1105"/>
    <w:rsid w:val="00E2766D"/>
    <w:rsid w:val="00E81441"/>
    <w:rsid w:val="00EA39EA"/>
    <w:rsid w:val="00EB3298"/>
    <w:rsid w:val="00EF1B17"/>
    <w:rsid w:val="00F65ED4"/>
    <w:rsid w:val="00FE4494"/>
    <w:rsid w:val="012A49BE"/>
    <w:rsid w:val="01613942"/>
    <w:rsid w:val="016573D0"/>
    <w:rsid w:val="01F22E3B"/>
    <w:rsid w:val="01F9338D"/>
    <w:rsid w:val="028F0BAA"/>
    <w:rsid w:val="02BA447B"/>
    <w:rsid w:val="02C15A39"/>
    <w:rsid w:val="02CD0F49"/>
    <w:rsid w:val="02D6292D"/>
    <w:rsid w:val="0351098F"/>
    <w:rsid w:val="037975DC"/>
    <w:rsid w:val="03E93E5C"/>
    <w:rsid w:val="04071D42"/>
    <w:rsid w:val="040E3F22"/>
    <w:rsid w:val="04113117"/>
    <w:rsid w:val="042C37C0"/>
    <w:rsid w:val="0445097A"/>
    <w:rsid w:val="04B261F2"/>
    <w:rsid w:val="04DC1DE4"/>
    <w:rsid w:val="054C6B6E"/>
    <w:rsid w:val="05A41EE1"/>
    <w:rsid w:val="05CB6829"/>
    <w:rsid w:val="05D17C25"/>
    <w:rsid w:val="06467CD2"/>
    <w:rsid w:val="06BD0CA5"/>
    <w:rsid w:val="06BF75CB"/>
    <w:rsid w:val="06F20030"/>
    <w:rsid w:val="070F5EB3"/>
    <w:rsid w:val="0774026B"/>
    <w:rsid w:val="07CC55D1"/>
    <w:rsid w:val="07E42DE6"/>
    <w:rsid w:val="07F5108C"/>
    <w:rsid w:val="085C12B9"/>
    <w:rsid w:val="08A63502"/>
    <w:rsid w:val="09487792"/>
    <w:rsid w:val="094D4F94"/>
    <w:rsid w:val="096646B9"/>
    <w:rsid w:val="09706391"/>
    <w:rsid w:val="09CF3DA1"/>
    <w:rsid w:val="0A2F6B39"/>
    <w:rsid w:val="0A6926C0"/>
    <w:rsid w:val="0AEB69D5"/>
    <w:rsid w:val="0B026AF3"/>
    <w:rsid w:val="0B1E69BD"/>
    <w:rsid w:val="0B854A02"/>
    <w:rsid w:val="0BAA290B"/>
    <w:rsid w:val="0BC63D7F"/>
    <w:rsid w:val="0BE33E44"/>
    <w:rsid w:val="0C7E7BB6"/>
    <w:rsid w:val="0C8F2FDD"/>
    <w:rsid w:val="0DB0776C"/>
    <w:rsid w:val="0DC50EB5"/>
    <w:rsid w:val="0DCE6E2B"/>
    <w:rsid w:val="0E0111C1"/>
    <w:rsid w:val="0E044993"/>
    <w:rsid w:val="0E3F646D"/>
    <w:rsid w:val="0E783493"/>
    <w:rsid w:val="0EA457BA"/>
    <w:rsid w:val="0EDE2663"/>
    <w:rsid w:val="0EE542FC"/>
    <w:rsid w:val="0F2C3731"/>
    <w:rsid w:val="0F841D0B"/>
    <w:rsid w:val="0FAF13DD"/>
    <w:rsid w:val="0FB80A89"/>
    <w:rsid w:val="108B02FC"/>
    <w:rsid w:val="10A77A9A"/>
    <w:rsid w:val="10F10634"/>
    <w:rsid w:val="1112620E"/>
    <w:rsid w:val="11706BC4"/>
    <w:rsid w:val="11B85124"/>
    <w:rsid w:val="12291560"/>
    <w:rsid w:val="128D006E"/>
    <w:rsid w:val="12BF09AC"/>
    <w:rsid w:val="13B93406"/>
    <w:rsid w:val="13FF71CB"/>
    <w:rsid w:val="14224C6E"/>
    <w:rsid w:val="1438780E"/>
    <w:rsid w:val="143F3450"/>
    <w:rsid w:val="144765EA"/>
    <w:rsid w:val="1452526D"/>
    <w:rsid w:val="14B26577"/>
    <w:rsid w:val="14C9727D"/>
    <w:rsid w:val="14D379AC"/>
    <w:rsid w:val="14DE6E0B"/>
    <w:rsid w:val="14E53990"/>
    <w:rsid w:val="15337D4F"/>
    <w:rsid w:val="15946F5C"/>
    <w:rsid w:val="15E93107"/>
    <w:rsid w:val="16340B0D"/>
    <w:rsid w:val="1642042D"/>
    <w:rsid w:val="165D2252"/>
    <w:rsid w:val="16996CC5"/>
    <w:rsid w:val="169F5378"/>
    <w:rsid w:val="16B4422A"/>
    <w:rsid w:val="16F24773"/>
    <w:rsid w:val="17007DB3"/>
    <w:rsid w:val="18047637"/>
    <w:rsid w:val="18882F61"/>
    <w:rsid w:val="18B4626E"/>
    <w:rsid w:val="18D20E99"/>
    <w:rsid w:val="18FA0912"/>
    <w:rsid w:val="193A0A93"/>
    <w:rsid w:val="19550179"/>
    <w:rsid w:val="19713157"/>
    <w:rsid w:val="19881FF4"/>
    <w:rsid w:val="19C673A9"/>
    <w:rsid w:val="19D05D19"/>
    <w:rsid w:val="19DD06F8"/>
    <w:rsid w:val="1A280D2C"/>
    <w:rsid w:val="1A7B5BD4"/>
    <w:rsid w:val="1AAB2F86"/>
    <w:rsid w:val="1AED1EBE"/>
    <w:rsid w:val="1AF11BE1"/>
    <w:rsid w:val="1B3C4830"/>
    <w:rsid w:val="1B4140A3"/>
    <w:rsid w:val="1B99122A"/>
    <w:rsid w:val="1BB624CA"/>
    <w:rsid w:val="1BBB5EBB"/>
    <w:rsid w:val="1C017640"/>
    <w:rsid w:val="1C03195A"/>
    <w:rsid w:val="1C262CF9"/>
    <w:rsid w:val="1C65518C"/>
    <w:rsid w:val="1CD106BB"/>
    <w:rsid w:val="1CFC5759"/>
    <w:rsid w:val="1D274C2B"/>
    <w:rsid w:val="1D304335"/>
    <w:rsid w:val="1D476C5C"/>
    <w:rsid w:val="1DBE34B4"/>
    <w:rsid w:val="1E4F0A04"/>
    <w:rsid w:val="1ED23562"/>
    <w:rsid w:val="1EF92856"/>
    <w:rsid w:val="1F300CC9"/>
    <w:rsid w:val="1F4D4D93"/>
    <w:rsid w:val="1F601DA5"/>
    <w:rsid w:val="1FC6013D"/>
    <w:rsid w:val="1FCD0D96"/>
    <w:rsid w:val="205818B6"/>
    <w:rsid w:val="207066CB"/>
    <w:rsid w:val="20862132"/>
    <w:rsid w:val="209044EA"/>
    <w:rsid w:val="209F4D48"/>
    <w:rsid w:val="20A85696"/>
    <w:rsid w:val="20AD4648"/>
    <w:rsid w:val="20AE7DC2"/>
    <w:rsid w:val="20E306C7"/>
    <w:rsid w:val="21595FDB"/>
    <w:rsid w:val="21C5175E"/>
    <w:rsid w:val="21F30D55"/>
    <w:rsid w:val="21F461A2"/>
    <w:rsid w:val="221067E5"/>
    <w:rsid w:val="225A20C8"/>
    <w:rsid w:val="22900310"/>
    <w:rsid w:val="22AD2B08"/>
    <w:rsid w:val="22CE2C70"/>
    <w:rsid w:val="22E43D3D"/>
    <w:rsid w:val="22EE2EC8"/>
    <w:rsid w:val="23033FA7"/>
    <w:rsid w:val="2343564D"/>
    <w:rsid w:val="234F2978"/>
    <w:rsid w:val="2368476C"/>
    <w:rsid w:val="24541B5F"/>
    <w:rsid w:val="246745B5"/>
    <w:rsid w:val="24992870"/>
    <w:rsid w:val="24D17F06"/>
    <w:rsid w:val="252678E9"/>
    <w:rsid w:val="254B2F7B"/>
    <w:rsid w:val="25507269"/>
    <w:rsid w:val="25742090"/>
    <w:rsid w:val="25A51558"/>
    <w:rsid w:val="25B33CBE"/>
    <w:rsid w:val="25FF15DE"/>
    <w:rsid w:val="26172908"/>
    <w:rsid w:val="268E0D46"/>
    <w:rsid w:val="269447FA"/>
    <w:rsid w:val="26B96956"/>
    <w:rsid w:val="26D53507"/>
    <w:rsid w:val="271559F4"/>
    <w:rsid w:val="2763651C"/>
    <w:rsid w:val="277D6332"/>
    <w:rsid w:val="28153044"/>
    <w:rsid w:val="285652D7"/>
    <w:rsid w:val="28CB420E"/>
    <w:rsid w:val="291075B7"/>
    <w:rsid w:val="295624AF"/>
    <w:rsid w:val="29691972"/>
    <w:rsid w:val="2A125848"/>
    <w:rsid w:val="2A6E5E46"/>
    <w:rsid w:val="2B453FE6"/>
    <w:rsid w:val="2B4710A9"/>
    <w:rsid w:val="2B523128"/>
    <w:rsid w:val="2B920B74"/>
    <w:rsid w:val="2BB33EB6"/>
    <w:rsid w:val="2C762B10"/>
    <w:rsid w:val="2CC10AA7"/>
    <w:rsid w:val="2CCB5CA6"/>
    <w:rsid w:val="2CDB0819"/>
    <w:rsid w:val="2CDC3EFF"/>
    <w:rsid w:val="2D5463F5"/>
    <w:rsid w:val="2D7C51FD"/>
    <w:rsid w:val="2D8111FB"/>
    <w:rsid w:val="2D8C17F3"/>
    <w:rsid w:val="2D9D4AF8"/>
    <w:rsid w:val="2E0A690B"/>
    <w:rsid w:val="2E386092"/>
    <w:rsid w:val="2E422395"/>
    <w:rsid w:val="2F4E4751"/>
    <w:rsid w:val="2F91178D"/>
    <w:rsid w:val="2FCF11D1"/>
    <w:rsid w:val="30BB5C43"/>
    <w:rsid w:val="30C42F3D"/>
    <w:rsid w:val="31335F27"/>
    <w:rsid w:val="319531B3"/>
    <w:rsid w:val="31F01263"/>
    <w:rsid w:val="32612CC5"/>
    <w:rsid w:val="328E366C"/>
    <w:rsid w:val="32BF7555"/>
    <w:rsid w:val="338F064A"/>
    <w:rsid w:val="33947000"/>
    <w:rsid w:val="33A50DB3"/>
    <w:rsid w:val="33D926F7"/>
    <w:rsid w:val="33DD2479"/>
    <w:rsid w:val="33FF4546"/>
    <w:rsid w:val="34B731EB"/>
    <w:rsid w:val="34CE6E22"/>
    <w:rsid w:val="35581E86"/>
    <w:rsid w:val="35683740"/>
    <w:rsid w:val="35EA22B2"/>
    <w:rsid w:val="363569B5"/>
    <w:rsid w:val="36466419"/>
    <w:rsid w:val="368754F8"/>
    <w:rsid w:val="3699777E"/>
    <w:rsid w:val="36E25A92"/>
    <w:rsid w:val="377431DE"/>
    <w:rsid w:val="378210A7"/>
    <w:rsid w:val="37865B7F"/>
    <w:rsid w:val="37CA0254"/>
    <w:rsid w:val="384B3621"/>
    <w:rsid w:val="38664BE8"/>
    <w:rsid w:val="387170D9"/>
    <w:rsid w:val="38A31C94"/>
    <w:rsid w:val="38A50A4C"/>
    <w:rsid w:val="391523F6"/>
    <w:rsid w:val="391B482D"/>
    <w:rsid w:val="391E1A05"/>
    <w:rsid w:val="394B4EF4"/>
    <w:rsid w:val="39515E46"/>
    <w:rsid w:val="39B20CAC"/>
    <w:rsid w:val="39B3659B"/>
    <w:rsid w:val="39BB6952"/>
    <w:rsid w:val="3A7C2B48"/>
    <w:rsid w:val="3A8D3CBF"/>
    <w:rsid w:val="3B125498"/>
    <w:rsid w:val="3B2B56B4"/>
    <w:rsid w:val="3B356D54"/>
    <w:rsid w:val="3B750701"/>
    <w:rsid w:val="3C667342"/>
    <w:rsid w:val="3C836463"/>
    <w:rsid w:val="3CAC6687"/>
    <w:rsid w:val="3CB80EF3"/>
    <w:rsid w:val="3D15396C"/>
    <w:rsid w:val="3D864E7B"/>
    <w:rsid w:val="3D8D0FBF"/>
    <w:rsid w:val="3DFB7A16"/>
    <w:rsid w:val="3E7E5AD4"/>
    <w:rsid w:val="3ECF2041"/>
    <w:rsid w:val="3ED27A6E"/>
    <w:rsid w:val="3EFF783B"/>
    <w:rsid w:val="3F0C538B"/>
    <w:rsid w:val="3F1C21D1"/>
    <w:rsid w:val="3F5D3CF6"/>
    <w:rsid w:val="3F7B58E0"/>
    <w:rsid w:val="3FA20345"/>
    <w:rsid w:val="3FA67097"/>
    <w:rsid w:val="40797F9A"/>
    <w:rsid w:val="408B09C6"/>
    <w:rsid w:val="40F04F63"/>
    <w:rsid w:val="41413728"/>
    <w:rsid w:val="4198389B"/>
    <w:rsid w:val="419C0BA3"/>
    <w:rsid w:val="41AE0A44"/>
    <w:rsid w:val="41C07514"/>
    <w:rsid w:val="41F53B92"/>
    <w:rsid w:val="421848AF"/>
    <w:rsid w:val="423861D6"/>
    <w:rsid w:val="4298160D"/>
    <w:rsid w:val="42FB3564"/>
    <w:rsid w:val="430355B2"/>
    <w:rsid w:val="431B1469"/>
    <w:rsid w:val="43332B39"/>
    <w:rsid w:val="435B3320"/>
    <w:rsid w:val="437E076D"/>
    <w:rsid w:val="438314A4"/>
    <w:rsid w:val="43E87F15"/>
    <w:rsid w:val="440053DE"/>
    <w:rsid w:val="447E4199"/>
    <w:rsid w:val="450B385D"/>
    <w:rsid w:val="45542169"/>
    <w:rsid w:val="458A6218"/>
    <w:rsid w:val="45AE0E33"/>
    <w:rsid w:val="4620062E"/>
    <w:rsid w:val="46264E58"/>
    <w:rsid w:val="462A3F9D"/>
    <w:rsid w:val="46806703"/>
    <w:rsid w:val="46CA056E"/>
    <w:rsid w:val="46F82A77"/>
    <w:rsid w:val="471D48EC"/>
    <w:rsid w:val="47A6293C"/>
    <w:rsid w:val="47B8256D"/>
    <w:rsid w:val="47D0490D"/>
    <w:rsid w:val="47F4657C"/>
    <w:rsid w:val="48187E2D"/>
    <w:rsid w:val="483117CF"/>
    <w:rsid w:val="48BC74B2"/>
    <w:rsid w:val="4956160F"/>
    <w:rsid w:val="496D5665"/>
    <w:rsid w:val="49956780"/>
    <w:rsid w:val="4A5636FB"/>
    <w:rsid w:val="4AA710AB"/>
    <w:rsid w:val="4AEB280D"/>
    <w:rsid w:val="4B16594D"/>
    <w:rsid w:val="4B1A0934"/>
    <w:rsid w:val="4B264AB0"/>
    <w:rsid w:val="4B900CB4"/>
    <w:rsid w:val="4BC55681"/>
    <w:rsid w:val="4BE20DE3"/>
    <w:rsid w:val="4C304766"/>
    <w:rsid w:val="4C3F5C35"/>
    <w:rsid w:val="4C496779"/>
    <w:rsid w:val="4C9E3A2E"/>
    <w:rsid w:val="4CBE4EB5"/>
    <w:rsid w:val="4CC772B4"/>
    <w:rsid w:val="4CCF3268"/>
    <w:rsid w:val="4D02566B"/>
    <w:rsid w:val="4D0F339B"/>
    <w:rsid w:val="4D4F30E9"/>
    <w:rsid w:val="4DF02623"/>
    <w:rsid w:val="4DF70A17"/>
    <w:rsid w:val="4E181278"/>
    <w:rsid w:val="4E2D7C3D"/>
    <w:rsid w:val="4E461C6E"/>
    <w:rsid w:val="4E4E3771"/>
    <w:rsid w:val="4E8455A0"/>
    <w:rsid w:val="4E8B0955"/>
    <w:rsid w:val="4ED9534E"/>
    <w:rsid w:val="4EE87670"/>
    <w:rsid w:val="4EED1B69"/>
    <w:rsid w:val="4EFF1D84"/>
    <w:rsid w:val="4F072CD8"/>
    <w:rsid w:val="4F1B56F4"/>
    <w:rsid w:val="4F3F641A"/>
    <w:rsid w:val="4FBC701E"/>
    <w:rsid w:val="4FFB46BE"/>
    <w:rsid w:val="50311118"/>
    <w:rsid w:val="50733304"/>
    <w:rsid w:val="50816876"/>
    <w:rsid w:val="508B180D"/>
    <w:rsid w:val="50CD0055"/>
    <w:rsid w:val="510A7A81"/>
    <w:rsid w:val="51461418"/>
    <w:rsid w:val="514706E2"/>
    <w:rsid w:val="518A301B"/>
    <w:rsid w:val="518E3226"/>
    <w:rsid w:val="51AB6561"/>
    <w:rsid w:val="51D41170"/>
    <w:rsid w:val="51EB7F58"/>
    <w:rsid w:val="51EE619C"/>
    <w:rsid w:val="52262F67"/>
    <w:rsid w:val="522B747A"/>
    <w:rsid w:val="529C5936"/>
    <w:rsid w:val="52C32018"/>
    <w:rsid w:val="534A7D13"/>
    <w:rsid w:val="5393657E"/>
    <w:rsid w:val="53EB00D6"/>
    <w:rsid w:val="53ED5C03"/>
    <w:rsid w:val="54814867"/>
    <w:rsid w:val="5494454D"/>
    <w:rsid w:val="556C6FCC"/>
    <w:rsid w:val="565F05EE"/>
    <w:rsid w:val="570B5113"/>
    <w:rsid w:val="57212DAC"/>
    <w:rsid w:val="57360446"/>
    <w:rsid w:val="57A5345F"/>
    <w:rsid w:val="57B67296"/>
    <w:rsid w:val="57D63A02"/>
    <w:rsid w:val="57DE4C7B"/>
    <w:rsid w:val="582A3013"/>
    <w:rsid w:val="586A1D12"/>
    <w:rsid w:val="58C77341"/>
    <w:rsid w:val="591A1F63"/>
    <w:rsid w:val="593432BD"/>
    <w:rsid w:val="59532DB0"/>
    <w:rsid w:val="59956E45"/>
    <w:rsid w:val="5A027BFB"/>
    <w:rsid w:val="5A1F50EA"/>
    <w:rsid w:val="5A2351E8"/>
    <w:rsid w:val="5A244A4A"/>
    <w:rsid w:val="5A8A27ED"/>
    <w:rsid w:val="5AA714AB"/>
    <w:rsid w:val="5ACD73FC"/>
    <w:rsid w:val="5AE00E52"/>
    <w:rsid w:val="5AE953CA"/>
    <w:rsid w:val="5AF22BEB"/>
    <w:rsid w:val="5AF4667C"/>
    <w:rsid w:val="5B6F1AE8"/>
    <w:rsid w:val="5B857A0C"/>
    <w:rsid w:val="5BE64A78"/>
    <w:rsid w:val="5C1319AC"/>
    <w:rsid w:val="5C160AF8"/>
    <w:rsid w:val="5C2E3B01"/>
    <w:rsid w:val="5C607C5D"/>
    <w:rsid w:val="5C647042"/>
    <w:rsid w:val="5C727CFC"/>
    <w:rsid w:val="5CA57C8C"/>
    <w:rsid w:val="5CC52637"/>
    <w:rsid w:val="5CED56C9"/>
    <w:rsid w:val="5D1F5072"/>
    <w:rsid w:val="5D225126"/>
    <w:rsid w:val="5DF1349D"/>
    <w:rsid w:val="5DF71866"/>
    <w:rsid w:val="5E286D87"/>
    <w:rsid w:val="5E372CA1"/>
    <w:rsid w:val="5E4E4F10"/>
    <w:rsid w:val="5E6B5C19"/>
    <w:rsid w:val="5EE73A24"/>
    <w:rsid w:val="5EF17BE5"/>
    <w:rsid w:val="5F303C69"/>
    <w:rsid w:val="5F3F3AB9"/>
    <w:rsid w:val="5FDB4D03"/>
    <w:rsid w:val="606232B4"/>
    <w:rsid w:val="60C525B9"/>
    <w:rsid w:val="61350AF8"/>
    <w:rsid w:val="61352507"/>
    <w:rsid w:val="613742F7"/>
    <w:rsid w:val="61460C09"/>
    <w:rsid w:val="61ED4DB0"/>
    <w:rsid w:val="62742B60"/>
    <w:rsid w:val="62E87FF9"/>
    <w:rsid w:val="62EB2D11"/>
    <w:rsid w:val="62F67060"/>
    <w:rsid w:val="62FF4F1C"/>
    <w:rsid w:val="63103CD7"/>
    <w:rsid w:val="633A1916"/>
    <w:rsid w:val="63636AB1"/>
    <w:rsid w:val="637A3AA2"/>
    <w:rsid w:val="637F49C5"/>
    <w:rsid w:val="638C3FB5"/>
    <w:rsid w:val="64487B11"/>
    <w:rsid w:val="64B61AA7"/>
    <w:rsid w:val="65230C17"/>
    <w:rsid w:val="65726D04"/>
    <w:rsid w:val="658118D3"/>
    <w:rsid w:val="65E64AAD"/>
    <w:rsid w:val="65E73FF1"/>
    <w:rsid w:val="662C309B"/>
    <w:rsid w:val="662E6942"/>
    <w:rsid w:val="664161EF"/>
    <w:rsid w:val="66A749A0"/>
    <w:rsid w:val="66DC357C"/>
    <w:rsid w:val="674360D6"/>
    <w:rsid w:val="67647548"/>
    <w:rsid w:val="67DF0D0C"/>
    <w:rsid w:val="67F1343E"/>
    <w:rsid w:val="688265F7"/>
    <w:rsid w:val="68950A4E"/>
    <w:rsid w:val="6899747D"/>
    <w:rsid w:val="68C6730A"/>
    <w:rsid w:val="68D10C15"/>
    <w:rsid w:val="69905B97"/>
    <w:rsid w:val="69BB4804"/>
    <w:rsid w:val="6A0C0F8E"/>
    <w:rsid w:val="6A0C2A12"/>
    <w:rsid w:val="6A392AA7"/>
    <w:rsid w:val="6A617D5F"/>
    <w:rsid w:val="6A7037F6"/>
    <w:rsid w:val="6A950F11"/>
    <w:rsid w:val="6AB428BC"/>
    <w:rsid w:val="6ADF6A9C"/>
    <w:rsid w:val="6B056812"/>
    <w:rsid w:val="6B33472A"/>
    <w:rsid w:val="6B3970CE"/>
    <w:rsid w:val="6B426B6B"/>
    <w:rsid w:val="6BA03D82"/>
    <w:rsid w:val="6BAA7D94"/>
    <w:rsid w:val="6BB251D0"/>
    <w:rsid w:val="6C014075"/>
    <w:rsid w:val="6C335326"/>
    <w:rsid w:val="6C42273B"/>
    <w:rsid w:val="6C6C6CD8"/>
    <w:rsid w:val="6C7B5057"/>
    <w:rsid w:val="6CC63FAE"/>
    <w:rsid w:val="6CEC663E"/>
    <w:rsid w:val="6D145DCD"/>
    <w:rsid w:val="6D581240"/>
    <w:rsid w:val="6D7B6A4E"/>
    <w:rsid w:val="6E0A2B95"/>
    <w:rsid w:val="6E3F2ACD"/>
    <w:rsid w:val="6E4E401E"/>
    <w:rsid w:val="6EE673E6"/>
    <w:rsid w:val="6EEE66EF"/>
    <w:rsid w:val="6F2F15DA"/>
    <w:rsid w:val="6F566FDF"/>
    <w:rsid w:val="6F635684"/>
    <w:rsid w:val="6FEE1887"/>
    <w:rsid w:val="6FF441FF"/>
    <w:rsid w:val="6FFC745C"/>
    <w:rsid w:val="704D0E45"/>
    <w:rsid w:val="709A57B4"/>
    <w:rsid w:val="70B529AF"/>
    <w:rsid w:val="70E400A7"/>
    <w:rsid w:val="713A03A7"/>
    <w:rsid w:val="71707477"/>
    <w:rsid w:val="71715545"/>
    <w:rsid w:val="71BF476F"/>
    <w:rsid w:val="71E3218F"/>
    <w:rsid w:val="71FD78DA"/>
    <w:rsid w:val="72092F23"/>
    <w:rsid w:val="72607532"/>
    <w:rsid w:val="72621A10"/>
    <w:rsid w:val="72A42F37"/>
    <w:rsid w:val="731C00E4"/>
    <w:rsid w:val="73204C81"/>
    <w:rsid w:val="732D207A"/>
    <w:rsid w:val="734F51DD"/>
    <w:rsid w:val="735A23C6"/>
    <w:rsid w:val="738915C8"/>
    <w:rsid w:val="73897ACB"/>
    <w:rsid w:val="74151F2E"/>
    <w:rsid w:val="743832CA"/>
    <w:rsid w:val="747F437C"/>
    <w:rsid w:val="74A07703"/>
    <w:rsid w:val="74AE610C"/>
    <w:rsid w:val="74BE1AF9"/>
    <w:rsid w:val="74C05CED"/>
    <w:rsid w:val="74C97F49"/>
    <w:rsid w:val="754A2BA4"/>
    <w:rsid w:val="75531E0E"/>
    <w:rsid w:val="7594482D"/>
    <w:rsid w:val="75F05222"/>
    <w:rsid w:val="75FE790E"/>
    <w:rsid w:val="76596BAC"/>
    <w:rsid w:val="767615BC"/>
    <w:rsid w:val="76851ABE"/>
    <w:rsid w:val="76876025"/>
    <w:rsid w:val="769D4F2C"/>
    <w:rsid w:val="770326B6"/>
    <w:rsid w:val="772753E7"/>
    <w:rsid w:val="773E53CD"/>
    <w:rsid w:val="77642997"/>
    <w:rsid w:val="77980DF1"/>
    <w:rsid w:val="77C23548"/>
    <w:rsid w:val="78632716"/>
    <w:rsid w:val="789E6641"/>
    <w:rsid w:val="797D4659"/>
    <w:rsid w:val="799249CD"/>
    <w:rsid w:val="79965154"/>
    <w:rsid w:val="79AB66BE"/>
    <w:rsid w:val="7A070047"/>
    <w:rsid w:val="7A25470A"/>
    <w:rsid w:val="7A505C62"/>
    <w:rsid w:val="7AEE4677"/>
    <w:rsid w:val="7B6B0D34"/>
    <w:rsid w:val="7B9C4D93"/>
    <w:rsid w:val="7B9E0A78"/>
    <w:rsid w:val="7BCD1F4D"/>
    <w:rsid w:val="7C4078EA"/>
    <w:rsid w:val="7C6627D7"/>
    <w:rsid w:val="7CB30A3F"/>
    <w:rsid w:val="7CD70025"/>
    <w:rsid w:val="7CE67797"/>
    <w:rsid w:val="7D314B9A"/>
    <w:rsid w:val="7D397BD5"/>
    <w:rsid w:val="7D85193F"/>
    <w:rsid w:val="7DBE1D6C"/>
    <w:rsid w:val="7E5C2EBE"/>
    <w:rsid w:val="7EA0505B"/>
    <w:rsid w:val="7F20101E"/>
    <w:rsid w:val="7F4A7513"/>
    <w:rsid w:val="7FEA7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qFormat/>
    <w:uiPriority w:val="0"/>
    <w:rPr>
      <w:color w:val="999999"/>
      <w:u w:val="none"/>
    </w:rPr>
  </w:style>
  <w:style w:type="character" w:styleId="9">
    <w:name w:val="Hyperlink"/>
    <w:basedOn w:val="7"/>
    <w:qFormat/>
    <w:uiPriority w:val="0"/>
    <w:rPr>
      <w:color w:val="333333"/>
      <w:u w:val="none"/>
    </w:rPr>
  </w:style>
  <w:style w:type="paragraph" w:customStyle="1" w:styleId="10">
    <w:name w:val="无列表1"/>
    <w:semiHidden/>
    <w:qFormat/>
    <w:uiPriority w:val="0"/>
    <w:rPr>
      <w:rFonts w:asciiTheme="minorHAnsi" w:hAnsiTheme="minorHAnsi" w:eastAsiaTheme="minorEastAsia" w:cstheme="minorBidi"/>
      <w:sz w:val="21"/>
      <w:szCs w:val="22"/>
      <w:lang w:val="en-US" w:eastAsia="zh-CN" w:bidi="ar-SA"/>
    </w:rPr>
  </w:style>
  <w:style w:type="character" w:customStyle="1" w:styleId="11">
    <w:name w:val="fav"/>
    <w:basedOn w:val="7"/>
    <w:qFormat/>
    <w:uiPriority w:val="0"/>
  </w:style>
  <w:style w:type="character" w:customStyle="1" w:styleId="12">
    <w:name w:val="dislike"/>
    <w:basedOn w:val="7"/>
    <w:qFormat/>
    <w:uiPriority w:val="0"/>
  </w:style>
  <w:style w:type="character" w:customStyle="1" w:styleId="13">
    <w:name w:val="unfav"/>
    <w:basedOn w:val="7"/>
    <w:qFormat/>
    <w:uiPriority w:val="0"/>
  </w:style>
  <w:style w:type="character" w:customStyle="1" w:styleId="14">
    <w:name w:val="active"/>
    <w:basedOn w:val="7"/>
    <w:qFormat/>
    <w:uiPriority w:val="0"/>
    <w:rPr>
      <w:shd w:val="clear" w:color="auto" w:fill="464646"/>
    </w:rPr>
  </w:style>
  <w:style w:type="character" w:customStyle="1" w:styleId="15">
    <w:name w:val="页眉 Char"/>
    <w:basedOn w:val="7"/>
    <w:link w:val="3"/>
    <w:qFormat/>
    <w:uiPriority w:val="0"/>
    <w:rPr>
      <w:kern w:val="2"/>
      <w:sz w:val="18"/>
      <w:szCs w:val="18"/>
    </w:rPr>
  </w:style>
  <w:style w:type="table" w:customStyle="1" w:styleId="16">
    <w:name w:val="Table Normal"/>
    <w:semiHidden/>
    <w:qFormat/>
    <w:uiPriority w:val="0"/>
    <w:tblPr>
      <w:tblCellMar>
        <w:top w:w="0" w:type="dxa"/>
        <w:left w:w="108"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Aspose</Company>
  <Pages>25</Pages>
  <Words>1561</Words>
  <Characters>8900</Characters>
  <Lines>74</Lines>
  <Paragraphs>20</Paragraphs>
  <TotalTime>9</TotalTime>
  <ScaleCrop>false</ScaleCrop>
  <LinksUpToDate>false</LinksUpToDate>
  <CharactersWithSpaces>10441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2020-03-17T16:18:00Z</dcterms:created>
  <dc:creator>Administrator</dc:creator>
  <cp:lastModifiedBy>对方正在输入...</cp:lastModifiedBy>
  <cp:lastPrinted>2020-03-11T00:32:00Z</cp:lastPrinted>
  <dcterms:modified xsi:type="dcterms:W3CDTF">2020-05-11T00:38:35Z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